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5D24" w14:textId="39224E95" w:rsidR="00E85AF0" w:rsidRPr="00814B7D" w:rsidRDefault="00E85AF0" w:rsidP="00814B7D">
      <w:pPr>
        <w:pStyle w:val="ProductName"/>
        <w:tabs>
          <w:tab w:val="left" w:pos="93"/>
        </w:tabs>
        <w:spacing w:beforeLines="30" w:before="97" w:line="276"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CA5EB6">
        <w:rPr>
          <w:rFonts w:ascii="Arial" w:eastAsia="宋体" w:hAnsi="Arial" w:cs="Arial" w:hint="eastAsia"/>
          <w:b/>
          <w:sz w:val="30"/>
          <w:szCs w:val="30"/>
          <w:lang w:eastAsia="zh-CN"/>
        </w:rPr>
        <w:t>D</w:t>
      </w:r>
      <w:r w:rsidR="00CA5EB6">
        <w:rPr>
          <w:rFonts w:ascii="Arial" w:eastAsia="宋体" w:hAnsi="Arial" w:cs="Arial"/>
          <w:b/>
          <w:sz w:val="30"/>
          <w:szCs w:val="30"/>
          <w:lang w:eastAsia="zh-CN"/>
        </w:rPr>
        <w:t>-</w:t>
      </w:r>
      <w:r w:rsidR="008D46A8">
        <w:rPr>
          <w:rFonts w:ascii="Arial" w:eastAsia="宋体" w:hAnsi="Arial" w:cs="Arial"/>
          <w:b/>
          <w:sz w:val="30"/>
          <w:szCs w:val="30"/>
          <w:lang w:eastAsia="zh-CN"/>
        </w:rPr>
        <w:t>6</w:t>
      </w:r>
      <w:r w:rsidR="000175A2">
        <w:rPr>
          <w:rFonts w:ascii="Arial" w:eastAsia="宋体" w:hAnsi="Arial" w:cs="Arial"/>
          <w:b/>
          <w:sz w:val="30"/>
          <w:szCs w:val="30"/>
          <w:lang w:eastAsia="zh-CN"/>
        </w:rPr>
        <w:t>037</w:t>
      </w:r>
    </w:p>
    <w:p w14:paraId="7959EB0F" w14:textId="20A640E2" w:rsidR="00E37A41" w:rsidRPr="00CA5EB6" w:rsidRDefault="00CA5EB6" w:rsidP="00CA5EB6">
      <w:pPr>
        <w:spacing w:line="276" w:lineRule="auto"/>
        <w:jc w:val="center"/>
        <w:rPr>
          <w:rFonts w:ascii="Arial" w:eastAsia="宋体" w:hAnsi="Arial" w:cs="Arial"/>
          <w:sz w:val="21"/>
          <w:szCs w:val="21"/>
          <w:lang w:eastAsia="zh-CN"/>
        </w:rPr>
      </w:pPr>
      <w:r>
        <w:rPr>
          <w:rFonts w:ascii="Arial" w:eastAsia="宋体" w:hAnsi="Arial" w:cs="Arial"/>
          <w:sz w:val="21"/>
          <w:szCs w:val="21"/>
          <w:lang w:eastAsia="zh-CN"/>
        </w:rPr>
        <w:t xml:space="preserve">Dispersing </w:t>
      </w:r>
      <w:r w:rsidR="008A704F" w:rsidRPr="00814B7D">
        <w:rPr>
          <w:rFonts w:ascii="Arial" w:eastAsia="宋体" w:hAnsi="Arial" w:cs="Arial"/>
          <w:sz w:val="21"/>
          <w:szCs w:val="21"/>
          <w:lang w:eastAsia="zh-CN"/>
        </w:rPr>
        <w:t>Agent</w:t>
      </w:r>
    </w:p>
    <w:p w14:paraId="099BA2DA" w14:textId="77777777" w:rsidR="00E85AF0" w:rsidRPr="003B593A" w:rsidRDefault="008A704F" w:rsidP="00814B7D">
      <w:pPr>
        <w:spacing w:line="276"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0244665A" w:rsidR="003E79A9" w:rsidRPr="00DF449A" w:rsidRDefault="00E85AF0" w:rsidP="000175A2">
      <w:pPr>
        <w:spacing w:line="360"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CA5EB6">
        <w:rPr>
          <w:rFonts w:ascii="Arial" w:eastAsiaTheme="minorEastAsia" w:hAnsi="Arial" w:cs="Arial"/>
          <w:b/>
          <w:sz w:val="21"/>
          <w:szCs w:val="21"/>
          <w:lang w:eastAsia="zh-CN"/>
        </w:rPr>
        <w:t>D-6</w:t>
      </w:r>
      <w:r w:rsidR="000175A2">
        <w:rPr>
          <w:rFonts w:ascii="Arial" w:eastAsiaTheme="minorEastAsia" w:hAnsi="Arial" w:cs="Arial"/>
          <w:b/>
          <w:sz w:val="21"/>
          <w:szCs w:val="21"/>
          <w:lang w:eastAsia="zh-CN"/>
        </w:rPr>
        <w:t>037</w:t>
      </w:r>
      <w:r w:rsidR="00171BF8">
        <w:rPr>
          <w:rFonts w:ascii="Arial" w:eastAsiaTheme="minorEastAsia" w:hAnsi="Arial" w:cs="Arial"/>
          <w:sz w:val="21"/>
          <w:szCs w:val="21"/>
          <w:lang w:eastAsia="zh-CN"/>
        </w:rPr>
        <w:t xml:space="preserve"> is</w:t>
      </w:r>
      <w:r w:rsidR="006272C1">
        <w:rPr>
          <w:rFonts w:ascii="Arial" w:eastAsiaTheme="minorEastAsia" w:hAnsi="Arial" w:cs="Arial"/>
          <w:sz w:val="21"/>
          <w:szCs w:val="21"/>
          <w:lang w:eastAsia="zh-CN"/>
        </w:rPr>
        <w:t xml:space="preserve"> a </w:t>
      </w:r>
      <w:r w:rsidR="000175A2">
        <w:rPr>
          <w:rFonts w:ascii="Arial" w:eastAsiaTheme="minorEastAsia" w:hAnsi="Arial" w:cs="Arial" w:hint="eastAsia"/>
          <w:sz w:val="21"/>
          <w:szCs w:val="21"/>
          <w:lang w:eastAsia="zh-CN"/>
        </w:rPr>
        <w:t>hydro</w:t>
      </w:r>
      <w:r w:rsidR="000175A2">
        <w:rPr>
          <w:rFonts w:ascii="Arial" w:eastAsiaTheme="minorEastAsia" w:hAnsi="Arial" w:cs="Arial"/>
          <w:sz w:val="21"/>
          <w:szCs w:val="21"/>
          <w:lang w:eastAsia="zh-CN"/>
        </w:rPr>
        <w:t>phobically modified polyacrylic polymer. It has good dispersing effect, with excellent water resistance. Due to the hydrophobically modification, the product has excellent early-stage water resistance and early-stage scrub resistance, also the rain imprint resistance has been improved. It also has excellent formulation compatibility, and color development performance.</w:t>
      </w:r>
    </w:p>
    <w:p w14:paraId="58C6C21B" w14:textId="77777777" w:rsidR="00E85AF0" w:rsidRPr="003B593A" w:rsidRDefault="00336E9D" w:rsidP="00814B7D">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1"/>
        <w:gridCol w:w="3542"/>
      </w:tblGrid>
      <w:tr w:rsidR="000542EA" w:rsidRPr="003B593A" w14:paraId="42A0821C" w14:textId="77777777" w:rsidTr="00171BF8">
        <w:trPr>
          <w:jc w:val="center"/>
        </w:trPr>
        <w:tc>
          <w:tcPr>
            <w:tcW w:w="4021" w:type="dxa"/>
          </w:tcPr>
          <w:p w14:paraId="5C1172E7" w14:textId="77777777" w:rsidR="000542EA" w:rsidRPr="003B593A" w:rsidRDefault="00336E9D" w:rsidP="00814B7D">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41B11BAC" w:rsidR="000542EA" w:rsidRPr="003B593A" w:rsidRDefault="000175A2" w:rsidP="00814B7D">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Light yellow liquid</w:t>
            </w:r>
          </w:p>
        </w:tc>
      </w:tr>
      <w:tr w:rsidR="000542EA" w:rsidRPr="003B593A" w14:paraId="332C94A4" w14:textId="77777777" w:rsidTr="00171BF8">
        <w:trPr>
          <w:jc w:val="center"/>
        </w:trPr>
        <w:tc>
          <w:tcPr>
            <w:tcW w:w="4021" w:type="dxa"/>
          </w:tcPr>
          <w:p w14:paraId="22AC4DF5" w14:textId="77777777" w:rsidR="000542EA" w:rsidRPr="003B593A" w:rsidRDefault="00336E9D" w:rsidP="00814B7D">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76021842" w:rsidR="000542EA" w:rsidRPr="003B593A" w:rsidRDefault="005E2BF7" w:rsidP="00814B7D">
            <w:pPr>
              <w:spacing w:line="276" w:lineRule="auto"/>
              <w:rPr>
                <w:rFonts w:ascii="Arial" w:eastAsiaTheme="minorEastAsia" w:hAnsi="Arial" w:cs="Arial" w:hint="eastAsia"/>
                <w:sz w:val="21"/>
                <w:szCs w:val="21"/>
                <w:lang w:eastAsia="zh-CN"/>
              </w:rPr>
            </w:pPr>
            <w:r>
              <w:rPr>
                <w:rFonts w:ascii="Arial" w:eastAsiaTheme="minorEastAsia" w:hAnsi="Arial" w:cs="Arial" w:hint="eastAsia"/>
                <w:sz w:val="21"/>
                <w:szCs w:val="21"/>
                <w:lang w:eastAsia="zh-CN"/>
              </w:rPr>
              <w:t>1.</w:t>
            </w:r>
            <w:r w:rsidR="008D46A8">
              <w:rPr>
                <w:rFonts w:ascii="Arial" w:eastAsiaTheme="minorEastAsia" w:hAnsi="Arial" w:cs="Arial"/>
                <w:sz w:val="21"/>
                <w:szCs w:val="21"/>
                <w:lang w:eastAsia="zh-CN"/>
              </w:rPr>
              <w:t>0</w:t>
            </w:r>
            <w:r w:rsidR="00706E49">
              <w:rPr>
                <w:rFonts w:ascii="Arial" w:eastAsiaTheme="minorEastAsia" w:hAnsi="Arial" w:cs="Arial" w:hint="eastAsia"/>
                <w:sz w:val="21"/>
                <w:szCs w:val="21"/>
                <w:lang w:eastAsia="zh-CN"/>
              </w:rPr>
              <w:t>6</w:t>
            </w:r>
          </w:p>
        </w:tc>
      </w:tr>
      <w:tr w:rsidR="005E2BF7" w:rsidRPr="003B593A" w14:paraId="4DA4ADDD" w14:textId="77777777" w:rsidTr="00171BF8">
        <w:trPr>
          <w:jc w:val="center"/>
        </w:trPr>
        <w:tc>
          <w:tcPr>
            <w:tcW w:w="4021" w:type="dxa"/>
          </w:tcPr>
          <w:p w14:paraId="504F2727" w14:textId="5267559F" w:rsidR="005E2BF7" w:rsidRPr="003B593A" w:rsidRDefault="00814B7D" w:rsidP="00814B7D">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542" w:type="dxa"/>
          </w:tcPr>
          <w:p w14:paraId="079DD944" w14:textId="3B0B1DF5" w:rsidR="005E2BF7" w:rsidRDefault="00706E49" w:rsidP="00814B7D">
            <w:pPr>
              <w:spacing w:line="276" w:lineRule="auto"/>
              <w:rPr>
                <w:rFonts w:ascii="Arial" w:eastAsiaTheme="minorEastAsia" w:hAnsi="Arial" w:cs="Arial" w:hint="eastAsia"/>
                <w:sz w:val="21"/>
                <w:szCs w:val="21"/>
                <w:lang w:eastAsia="zh-CN"/>
              </w:rPr>
            </w:pPr>
            <w:r>
              <w:rPr>
                <w:rFonts w:ascii="Arial" w:eastAsiaTheme="minorEastAsia" w:hAnsi="Arial" w:cs="Arial" w:hint="eastAsia"/>
                <w:sz w:val="21"/>
                <w:szCs w:val="21"/>
                <w:lang w:eastAsia="zh-CN"/>
              </w:rPr>
              <w:t>30</w:t>
            </w:r>
          </w:p>
        </w:tc>
      </w:tr>
      <w:tr w:rsidR="00814B7D" w:rsidRPr="003B593A" w14:paraId="7F7A401B" w14:textId="77777777" w:rsidTr="00171BF8">
        <w:trPr>
          <w:jc w:val="center"/>
        </w:trPr>
        <w:tc>
          <w:tcPr>
            <w:tcW w:w="4021" w:type="dxa"/>
          </w:tcPr>
          <w:p w14:paraId="5BF9F853" w14:textId="766E3A9B" w:rsidR="00814B7D" w:rsidRDefault="008D46A8" w:rsidP="00814B7D">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noProof w:val="0"/>
                <w:sz w:val="21"/>
                <w:szCs w:val="21"/>
                <w:lang w:eastAsia="zh-CN"/>
              </w:rPr>
              <w:t>Viscosity (25</w:t>
            </w:r>
            <w:r>
              <w:rPr>
                <w:rFonts w:ascii="Arial" w:hAnsi="Arial" w:cs="Arial"/>
                <w:color w:val="4D5156"/>
                <w:sz w:val="21"/>
                <w:szCs w:val="21"/>
                <w:shd w:val="clear" w:color="auto" w:fill="FFFFFF"/>
              </w:rPr>
              <w:t>°C</w:t>
            </w:r>
            <w:r>
              <w:rPr>
                <w:rFonts w:ascii="Arial" w:eastAsiaTheme="minorEastAsia" w:hAnsi="Arial" w:cs="Arial"/>
                <w:noProof w:val="0"/>
                <w:sz w:val="21"/>
                <w:szCs w:val="21"/>
                <w:lang w:eastAsia="zh-CN"/>
              </w:rPr>
              <w:t xml:space="preserve">, </w:t>
            </w:r>
            <w:proofErr w:type="spellStart"/>
            <w:r>
              <w:rPr>
                <w:rFonts w:ascii="Arial" w:eastAsiaTheme="minorEastAsia" w:hAnsi="Arial" w:cs="Arial"/>
                <w:noProof w:val="0"/>
                <w:sz w:val="21"/>
                <w:szCs w:val="21"/>
                <w:lang w:eastAsia="zh-CN"/>
              </w:rPr>
              <w:t>mPas</w:t>
            </w:r>
            <w:proofErr w:type="spellEnd"/>
            <w:r>
              <w:rPr>
                <w:rFonts w:ascii="Arial" w:eastAsiaTheme="minorEastAsia" w:hAnsi="Arial" w:cs="Arial"/>
                <w:noProof w:val="0"/>
                <w:sz w:val="21"/>
                <w:szCs w:val="21"/>
                <w:lang w:eastAsia="zh-CN"/>
              </w:rPr>
              <w:t>)</w:t>
            </w:r>
          </w:p>
        </w:tc>
        <w:tc>
          <w:tcPr>
            <w:tcW w:w="3542" w:type="dxa"/>
          </w:tcPr>
          <w:p w14:paraId="1FB86152" w14:textId="53BB9F44" w:rsidR="00814B7D" w:rsidRDefault="006272C1" w:rsidP="00814B7D">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&lt;500</w:t>
            </w:r>
          </w:p>
        </w:tc>
      </w:tr>
    </w:tbl>
    <w:p w14:paraId="7D769430" w14:textId="409778BB" w:rsidR="003E79A9" w:rsidRPr="003B593A" w:rsidRDefault="00336E9D" w:rsidP="00CA5EB6">
      <w:pPr>
        <w:spacing w:line="276"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814B7D">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19849C93" w:rsidR="00BC0650" w:rsidRDefault="00BC0650" w:rsidP="000175A2">
      <w:pPr>
        <w:spacing w:line="360" w:lineRule="auto"/>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8D46A8">
        <w:rPr>
          <w:rFonts w:ascii="Arial" w:eastAsiaTheme="minorEastAsia" w:hAnsi="Arial" w:cs="Arial" w:hint="eastAsia"/>
          <w:b/>
          <w:sz w:val="21"/>
          <w:szCs w:val="21"/>
          <w:lang w:eastAsia="zh-CN"/>
        </w:rPr>
        <w:t>D-6</w:t>
      </w:r>
      <w:r w:rsidR="000175A2">
        <w:rPr>
          <w:rFonts w:ascii="Arial" w:eastAsiaTheme="minorEastAsia" w:hAnsi="Arial" w:cs="Arial"/>
          <w:b/>
          <w:sz w:val="21"/>
          <w:szCs w:val="21"/>
          <w:lang w:eastAsia="zh-CN"/>
        </w:rPr>
        <w:t>037</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 xml:space="preserve">is </w:t>
      </w:r>
      <w:r w:rsidR="006272C1">
        <w:rPr>
          <w:rFonts w:ascii="Arial" w:eastAsiaTheme="minorEastAsia" w:hAnsi="Arial" w:cs="Arial"/>
          <w:sz w:val="21"/>
          <w:szCs w:val="21"/>
          <w:lang w:eastAsia="zh-CN"/>
        </w:rPr>
        <w:t xml:space="preserve">recommended for </w:t>
      </w:r>
      <w:r w:rsidR="000175A2">
        <w:rPr>
          <w:rFonts w:ascii="Arial" w:eastAsiaTheme="minorEastAsia" w:hAnsi="Arial" w:cs="Arial"/>
          <w:sz w:val="21"/>
          <w:szCs w:val="21"/>
          <w:lang w:eastAsia="zh-CN"/>
        </w:rPr>
        <w:t>dispersing of inorganic pigment/fillers in water-borne architecture, wood and industrial coatings, with high requirement in early-stage water resistance. It can be used solely, or combined with other acrylic type dispersant to achieve more comprehensive performance.</w:t>
      </w:r>
    </w:p>
    <w:p w14:paraId="6773B620" w14:textId="1FDA39DD" w:rsidR="006272C1" w:rsidRPr="006272C1" w:rsidRDefault="00DF449A" w:rsidP="000175A2">
      <w:pPr>
        <w:spacing w:line="36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 xml:space="preserve">(base on the </w:t>
      </w:r>
      <w:r w:rsidR="006272C1">
        <w:rPr>
          <w:rFonts w:ascii="Arial" w:eastAsiaTheme="minorEastAsia" w:hAnsi="Arial" w:cs="Arial"/>
          <w:sz w:val="21"/>
          <w:szCs w:val="21"/>
          <w:lang w:eastAsia="zh-CN"/>
        </w:rPr>
        <w:t>pigment volume</w:t>
      </w:r>
      <w:r>
        <w:rPr>
          <w:rFonts w:ascii="Arial" w:eastAsiaTheme="minorEastAsia" w:hAnsi="Arial" w:cs="Arial"/>
          <w:sz w:val="21"/>
          <w:szCs w:val="21"/>
          <w:lang w:eastAsia="zh-CN"/>
        </w:rPr>
        <w:t>)</w:t>
      </w:r>
      <w:r w:rsidR="006272C1">
        <w:rPr>
          <w:rFonts w:ascii="Arial" w:eastAsiaTheme="minorEastAsia" w:hAnsi="Arial" w:cs="Arial"/>
          <w:sz w:val="21"/>
          <w:szCs w:val="21"/>
          <w:lang w:eastAsia="zh-CN"/>
        </w:rPr>
        <w:t>:</w:t>
      </w:r>
      <w:r w:rsidR="000175A2">
        <w:rPr>
          <w:rFonts w:ascii="Arial" w:eastAsiaTheme="minorEastAsia" w:hAnsi="Arial" w:cs="Arial"/>
          <w:sz w:val="21"/>
          <w:szCs w:val="21"/>
          <w:lang w:eastAsia="zh-CN"/>
        </w:rPr>
        <w:t xml:space="preserve"> 3-10%</w:t>
      </w:r>
    </w:p>
    <w:p w14:paraId="75FB2948" w14:textId="1A7C31D8" w:rsidR="00DF449A" w:rsidRPr="00DF449A" w:rsidRDefault="001D53AB" w:rsidP="000175A2">
      <w:pPr>
        <w:spacing w:line="36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Above dosage are only for orientation, optimum level of dosage should be determined via laboratory tests.</w:t>
      </w:r>
    </w:p>
    <w:p w14:paraId="1CBAB742" w14:textId="77777777" w:rsidR="000A0B9D" w:rsidRPr="00CA5CAF" w:rsidRDefault="000A0B9D" w:rsidP="00814B7D">
      <w:pPr>
        <w:spacing w:line="276"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6D2D0EF" w:rsidR="00CA5CAF" w:rsidRPr="00CA5EB6" w:rsidRDefault="000A0B9D" w:rsidP="00814B7D">
      <w:pPr>
        <w:spacing w:line="276" w:lineRule="auto"/>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r w:rsidR="00CA5EB6">
        <w:rPr>
          <w:rFonts w:ascii="Arial" w:eastAsiaTheme="minorEastAsia" w:hAnsi="Arial" w:cs="Arial"/>
          <w:sz w:val="21"/>
          <w:szCs w:val="22"/>
          <w:lang w:eastAsia="zh-CN"/>
        </w:rPr>
        <w:t>.</w:t>
      </w:r>
    </w:p>
    <w:p w14:paraId="0A0FC528" w14:textId="77777777" w:rsidR="000A0B9D" w:rsidRPr="003B593A" w:rsidRDefault="000A0B9D" w:rsidP="00814B7D">
      <w:pPr>
        <w:spacing w:line="276"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2990FE44" w:rsidR="000A0B9D" w:rsidRPr="003B593A" w:rsidRDefault="000A0B9D" w:rsidP="000175A2">
      <w:pPr>
        <w:spacing w:afterLines="30" w:after="97" w:line="360" w:lineRule="auto"/>
        <w:jc w:val="both"/>
        <w:rPr>
          <w:rFonts w:ascii="Arial" w:eastAsia="宋体" w:hAnsi="Arial" w:cs="Arial"/>
          <w:b/>
          <w:bCs/>
          <w:szCs w:val="28"/>
          <w:lang w:eastAsia="zh-CN"/>
        </w:rPr>
      </w:pPr>
      <w:r w:rsidRPr="003B593A">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1D53AB">
        <w:rPr>
          <w:rFonts w:ascii="Arial" w:eastAsia="宋体" w:hAnsi="Arial" w:cs="Arial"/>
          <w:sz w:val="21"/>
          <w:szCs w:val="22"/>
          <w:lang w:eastAsia="zh-CN"/>
        </w:rPr>
        <w:t>n</w:t>
      </w:r>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814B7D">
      <w:pPr>
        <w:spacing w:line="276"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lastRenderedPageBreak/>
        <w:t>**</w:t>
      </w:r>
      <w:r w:rsidRPr="003B593A">
        <w:rPr>
          <w:rFonts w:ascii="Arial" w:eastAsia="宋体" w:hAnsi="Arial" w:cs="Arial"/>
          <w:b/>
          <w:color w:val="004646"/>
          <w:spacing w:val="-5"/>
          <w:sz w:val="21"/>
          <w:szCs w:val="21"/>
          <w:lang w:eastAsia="zh-CN"/>
        </w:rPr>
        <w:t>Please refer to SDS for more information</w:t>
      </w:r>
    </w:p>
    <w:sectPr w:rsidR="00E555FC" w:rsidRPr="00D913E6" w:rsidSect="009F01C3">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45C2" w14:textId="77777777" w:rsidR="009F01C3" w:rsidRDefault="009F01C3" w:rsidP="00D67962">
      <w:r>
        <w:separator/>
      </w:r>
    </w:p>
  </w:endnote>
  <w:endnote w:type="continuationSeparator" w:id="0">
    <w:p w14:paraId="26A2F0D6" w14:textId="77777777" w:rsidR="009F01C3" w:rsidRDefault="009F01C3"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 xml:space="preserve">Kang-Xin Highway, </w:t>
            </w:r>
            <w:proofErr w:type="gramStart"/>
            <w:r w:rsidR="00271633">
              <w:rPr>
                <w:rFonts w:eastAsiaTheme="minorEastAsia" w:hint="eastAsia"/>
                <w:lang w:eastAsia="zh-CN"/>
              </w:rPr>
              <w:t>Building</w:t>
            </w:r>
            <w:proofErr w:type="gramEnd"/>
            <w:r w:rsidR="00271633">
              <w:rPr>
                <w:rFonts w:eastAsiaTheme="minorEastAsia" w:hint="eastAsia"/>
                <w:lang w:eastAsia="zh-CN"/>
              </w:rPr>
              <w:t xml:space="preserve">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119F" w14:textId="77777777" w:rsidR="009F01C3" w:rsidRDefault="009F01C3" w:rsidP="00D67962">
      <w:r>
        <w:separator/>
      </w:r>
    </w:p>
  </w:footnote>
  <w:footnote w:type="continuationSeparator" w:id="0">
    <w:p w14:paraId="4C02C90F" w14:textId="77777777" w:rsidR="009F01C3" w:rsidRDefault="009F01C3"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75A2"/>
    <w:rsid w:val="00023490"/>
    <w:rsid w:val="00031D12"/>
    <w:rsid w:val="00041AE9"/>
    <w:rsid w:val="000542EA"/>
    <w:rsid w:val="00063F88"/>
    <w:rsid w:val="000A0B9D"/>
    <w:rsid w:val="000E7BE1"/>
    <w:rsid w:val="00122A34"/>
    <w:rsid w:val="00125C97"/>
    <w:rsid w:val="001449E6"/>
    <w:rsid w:val="00144B2E"/>
    <w:rsid w:val="00171BF8"/>
    <w:rsid w:val="001802FC"/>
    <w:rsid w:val="00195220"/>
    <w:rsid w:val="001B2DCA"/>
    <w:rsid w:val="001B301F"/>
    <w:rsid w:val="001C7285"/>
    <w:rsid w:val="001D53AB"/>
    <w:rsid w:val="001D5F44"/>
    <w:rsid w:val="001F1ADF"/>
    <w:rsid w:val="001F52DB"/>
    <w:rsid w:val="001F7B20"/>
    <w:rsid w:val="00237B3C"/>
    <w:rsid w:val="0025574F"/>
    <w:rsid w:val="0026527E"/>
    <w:rsid w:val="00271633"/>
    <w:rsid w:val="0027540B"/>
    <w:rsid w:val="002B21E8"/>
    <w:rsid w:val="00312A86"/>
    <w:rsid w:val="003254C9"/>
    <w:rsid w:val="00332C2C"/>
    <w:rsid w:val="00336E9D"/>
    <w:rsid w:val="00366616"/>
    <w:rsid w:val="0037766C"/>
    <w:rsid w:val="003A498F"/>
    <w:rsid w:val="003B593A"/>
    <w:rsid w:val="003E79A9"/>
    <w:rsid w:val="0040255A"/>
    <w:rsid w:val="00412FAE"/>
    <w:rsid w:val="0042654D"/>
    <w:rsid w:val="0042792F"/>
    <w:rsid w:val="00431400"/>
    <w:rsid w:val="00456833"/>
    <w:rsid w:val="0046076A"/>
    <w:rsid w:val="00470940"/>
    <w:rsid w:val="0047123E"/>
    <w:rsid w:val="0047165E"/>
    <w:rsid w:val="004847AE"/>
    <w:rsid w:val="00493494"/>
    <w:rsid w:val="004A0E6C"/>
    <w:rsid w:val="004A7EBF"/>
    <w:rsid w:val="004B2681"/>
    <w:rsid w:val="004C7A34"/>
    <w:rsid w:val="0050017B"/>
    <w:rsid w:val="00521EFB"/>
    <w:rsid w:val="00551228"/>
    <w:rsid w:val="00570F4C"/>
    <w:rsid w:val="00593951"/>
    <w:rsid w:val="005E2BF7"/>
    <w:rsid w:val="005E3243"/>
    <w:rsid w:val="005F0E0E"/>
    <w:rsid w:val="00610704"/>
    <w:rsid w:val="00616751"/>
    <w:rsid w:val="00624C92"/>
    <w:rsid w:val="006272C1"/>
    <w:rsid w:val="00640E62"/>
    <w:rsid w:val="006520FB"/>
    <w:rsid w:val="006637FD"/>
    <w:rsid w:val="006A02E8"/>
    <w:rsid w:val="006A2387"/>
    <w:rsid w:val="006C4E3E"/>
    <w:rsid w:val="006E780B"/>
    <w:rsid w:val="00706E49"/>
    <w:rsid w:val="007246B0"/>
    <w:rsid w:val="00776107"/>
    <w:rsid w:val="00790B82"/>
    <w:rsid w:val="007A6D68"/>
    <w:rsid w:val="007E62D4"/>
    <w:rsid w:val="007F381B"/>
    <w:rsid w:val="00806397"/>
    <w:rsid w:val="00814B7D"/>
    <w:rsid w:val="008A233C"/>
    <w:rsid w:val="008A5C24"/>
    <w:rsid w:val="008A6F3E"/>
    <w:rsid w:val="008A704F"/>
    <w:rsid w:val="008D46A8"/>
    <w:rsid w:val="008E273E"/>
    <w:rsid w:val="008E7636"/>
    <w:rsid w:val="00917E90"/>
    <w:rsid w:val="009400E3"/>
    <w:rsid w:val="009551D7"/>
    <w:rsid w:val="009C55D3"/>
    <w:rsid w:val="009C567B"/>
    <w:rsid w:val="009C6348"/>
    <w:rsid w:val="009D0080"/>
    <w:rsid w:val="009D1DF0"/>
    <w:rsid w:val="009D4350"/>
    <w:rsid w:val="009D5D0B"/>
    <w:rsid w:val="009E5287"/>
    <w:rsid w:val="009F01C3"/>
    <w:rsid w:val="00A336C8"/>
    <w:rsid w:val="00A34278"/>
    <w:rsid w:val="00A41000"/>
    <w:rsid w:val="00A733A6"/>
    <w:rsid w:val="00A92175"/>
    <w:rsid w:val="00AA359D"/>
    <w:rsid w:val="00AC3A90"/>
    <w:rsid w:val="00AE2526"/>
    <w:rsid w:val="00B1049C"/>
    <w:rsid w:val="00B1210B"/>
    <w:rsid w:val="00BA0C54"/>
    <w:rsid w:val="00BB6B6E"/>
    <w:rsid w:val="00BC0650"/>
    <w:rsid w:val="00BD150F"/>
    <w:rsid w:val="00BD72D1"/>
    <w:rsid w:val="00BE3F44"/>
    <w:rsid w:val="00C028CE"/>
    <w:rsid w:val="00C07827"/>
    <w:rsid w:val="00C31DF3"/>
    <w:rsid w:val="00C45FAB"/>
    <w:rsid w:val="00C83EEA"/>
    <w:rsid w:val="00CA5CAF"/>
    <w:rsid w:val="00CA5EB6"/>
    <w:rsid w:val="00CB2E7D"/>
    <w:rsid w:val="00CC0AAD"/>
    <w:rsid w:val="00CE455C"/>
    <w:rsid w:val="00D079B8"/>
    <w:rsid w:val="00D254F8"/>
    <w:rsid w:val="00D67962"/>
    <w:rsid w:val="00D714A8"/>
    <w:rsid w:val="00D913E6"/>
    <w:rsid w:val="00DD5659"/>
    <w:rsid w:val="00DF449A"/>
    <w:rsid w:val="00E3048C"/>
    <w:rsid w:val="00E37A41"/>
    <w:rsid w:val="00E438DD"/>
    <w:rsid w:val="00E555FC"/>
    <w:rsid w:val="00E665DC"/>
    <w:rsid w:val="00E85AF0"/>
    <w:rsid w:val="00E93C29"/>
    <w:rsid w:val="00EB3358"/>
    <w:rsid w:val="00EC0629"/>
    <w:rsid w:val="00EF5995"/>
    <w:rsid w:val="00EF64D5"/>
    <w:rsid w:val="00F568DF"/>
    <w:rsid w:val="00FA257C"/>
    <w:rsid w:val="00FB4C96"/>
    <w:rsid w:val="00FD741E"/>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Company>Microsoft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威 刘</cp:lastModifiedBy>
  <cp:revision>4</cp:revision>
  <cp:lastPrinted>2022-11-03T05:41:00Z</cp:lastPrinted>
  <dcterms:created xsi:type="dcterms:W3CDTF">2023-06-29T04:49:00Z</dcterms:created>
  <dcterms:modified xsi:type="dcterms:W3CDTF">2024-04-02T04:07:00Z</dcterms:modified>
</cp:coreProperties>
</file>