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BF873" w14:textId="77777777" w:rsidR="00941437" w:rsidRPr="002D72EB" w:rsidRDefault="00E85AF0" w:rsidP="00604F85">
      <w:pPr>
        <w:pStyle w:val="ProductName"/>
        <w:tabs>
          <w:tab w:val="left" w:pos="93"/>
        </w:tabs>
        <w:spacing w:beforeLines="30" w:before="97" w:line="300" w:lineRule="auto"/>
        <w:jc w:val="center"/>
        <w:rPr>
          <w:rFonts w:eastAsia="宋体"/>
          <w:sz w:val="28"/>
          <w:szCs w:val="28"/>
          <w:lang w:eastAsia="zh-CN"/>
        </w:rPr>
      </w:pPr>
      <w:r w:rsidRPr="00941437">
        <w:rPr>
          <w:rFonts w:eastAsia="宋体" w:hint="eastAsia"/>
          <w:sz w:val="28"/>
          <w:szCs w:val="28"/>
          <w:lang w:eastAsia="zh-CN"/>
        </w:rPr>
        <w:t>Coadd</w:t>
      </w:r>
      <w:r w:rsidRPr="00941437">
        <w:rPr>
          <w:rFonts w:eastAsia="宋体"/>
          <w:sz w:val="28"/>
          <w:szCs w:val="28"/>
          <w:lang w:eastAsia="zh-CN"/>
        </w:rPr>
        <w:t xml:space="preserve">™ </w:t>
      </w:r>
      <w:r w:rsidR="00941437" w:rsidRPr="00941437">
        <w:rPr>
          <w:rFonts w:eastAsia="宋体" w:hint="eastAsia"/>
          <w:sz w:val="28"/>
          <w:szCs w:val="28"/>
          <w:lang w:eastAsia="zh-CN"/>
        </w:rPr>
        <w:t>D</w:t>
      </w:r>
      <w:r w:rsidR="00BA6660">
        <w:rPr>
          <w:rFonts w:eastAsia="宋体" w:hint="eastAsia"/>
          <w:sz w:val="28"/>
          <w:szCs w:val="28"/>
          <w:lang w:eastAsia="zh-CN"/>
        </w:rPr>
        <w:t>-</w:t>
      </w:r>
      <w:r w:rsidR="002026E5">
        <w:rPr>
          <w:rFonts w:eastAsia="宋体" w:hint="eastAsia"/>
          <w:sz w:val="28"/>
          <w:szCs w:val="28"/>
          <w:lang w:eastAsia="zh-CN"/>
        </w:rPr>
        <w:t>607</w:t>
      </w:r>
      <w:r w:rsidR="002D72EB">
        <w:rPr>
          <w:rFonts w:eastAsia="宋体" w:hint="eastAsia"/>
          <w:sz w:val="28"/>
          <w:szCs w:val="28"/>
          <w:lang w:eastAsia="zh-CN"/>
        </w:rPr>
        <w:t>1</w:t>
      </w:r>
    </w:p>
    <w:p w14:paraId="41D73D20" w14:textId="77777777" w:rsidR="00C824DC" w:rsidRPr="00941437" w:rsidRDefault="00B6759F" w:rsidP="00604F85">
      <w:pPr>
        <w:spacing w:line="300" w:lineRule="auto"/>
        <w:jc w:val="center"/>
        <w:rPr>
          <w:rFonts w:ascii="Arial" w:eastAsia="宋体" w:hAnsi="宋体" w:cs="Arial" w:hint="eastAsia"/>
          <w:lang w:eastAsia="zh-CN"/>
        </w:rPr>
      </w:pPr>
      <w:r w:rsidRPr="00941437">
        <w:rPr>
          <w:rFonts w:ascii="Arial" w:eastAsia="宋体" w:hAnsi="宋体" w:cs="Arial" w:hint="eastAsia"/>
          <w:lang w:eastAsia="zh-CN"/>
        </w:rPr>
        <w:t xml:space="preserve">Dispersant </w:t>
      </w:r>
    </w:p>
    <w:p w14:paraId="7950DD72" w14:textId="77777777" w:rsidR="00E85AF0" w:rsidRPr="00B6759F" w:rsidRDefault="00B6759F" w:rsidP="00604F85">
      <w:pPr>
        <w:spacing w:line="300" w:lineRule="auto"/>
        <w:rPr>
          <w:rFonts w:ascii="Arial" w:eastAsiaTheme="minorEastAsia" w:hAnsi="Arial" w:cs="Arial"/>
          <w:sz w:val="28"/>
          <w:szCs w:val="28"/>
          <w:lang w:eastAsia="zh-CN"/>
        </w:rPr>
      </w:pPr>
      <w:r>
        <w:rPr>
          <w:rFonts w:ascii="Arial" w:eastAsia="宋体" w:hAnsi="宋体" w:cs="Arial" w:hint="eastAsia"/>
          <w:b/>
          <w:bCs/>
          <w:sz w:val="28"/>
          <w:szCs w:val="28"/>
          <w:lang w:eastAsia="zh-CN"/>
        </w:rPr>
        <w:t>DESCRIPTION</w:t>
      </w:r>
    </w:p>
    <w:p w14:paraId="2E4C630A" w14:textId="77777777" w:rsidR="00C824DC" w:rsidRPr="00941437" w:rsidRDefault="00E85AF0" w:rsidP="00604F85">
      <w:pPr>
        <w:spacing w:line="300" w:lineRule="auto"/>
        <w:jc w:val="both"/>
        <w:rPr>
          <w:rFonts w:ascii="Arial" w:eastAsiaTheme="minorEastAsia" w:hAnsi="Arial" w:cs="Arial"/>
          <w:sz w:val="21"/>
          <w:szCs w:val="21"/>
          <w:lang w:eastAsia="zh-CN"/>
        </w:rPr>
      </w:pPr>
      <w:r w:rsidRPr="00B6759F">
        <w:rPr>
          <w:rFonts w:ascii="Arial" w:eastAsiaTheme="minorEastAsia" w:hAnsi="Arial" w:cs="Arial"/>
          <w:b/>
          <w:sz w:val="21"/>
          <w:szCs w:val="21"/>
          <w:lang w:eastAsia="zh-CN"/>
        </w:rPr>
        <w:t xml:space="preserve">Coadd™ </w:t>
      </w:r>
      <w:r w:rsidR="00941437">
        <w:rPr>
          <w:rFonts w:ascii="Arial" w:eastAsiaTheme="minorEastAsia" w:hAnsi="Arial" w:cs="Arial"/>
          <w:b/>
          <w:sz w:val="21"/>
          <w:szCs w:val="21"/>
          <w:lang w:eastAsia="zh-CN"/>
        </w:rPr>
        <w:t>D</w:t>
      </w:r>
      <w:r w:rsidR="00BA6660">
        <w:rPr>
          <w:rFonts w:ascii="Arial" w:eastAsiaTheme="minorEastAsia" w:hAnsi="Arial" w:cs="Arial" w:hint="eastAsia"/>
          <w:b/>
          <w:sz w:val="21"/>
          <w:szCs w:val="21"/>
          <w:lang w:eastAsia="zh-CN"/>
        </w:rPr>
        <w:t>-</w:t>
      </w:r>
      <w:r w:rsidR="002026E5">
        <w:rPr>
          <w:rFonts w:ascii="Arial" w:eastAsiaTheme="minorEastAsia" w:hAnsi="Arial" w:cs="Arial" w:hint="eastAsia"/>
          <w:b/>
          <w:sz w:val="21"/>
          <w:szCs w:val="21"/>
          <w:lang w:eastAsia="zh-CN"/>
        </w:rPr>
        <w:t>607</w:t>
      </w:r>
      <w:r w:rsidR="002D72EB">
        <w:rPr>
          <w:rFonts w:ascii="Arial" w:eastAsiaTheme="minorEastAsia" w:hAnsi="Arial" w:cs="Arial" w:hint="eastAsia"/>
          <w:b/>
          <w:sz w:val="21"/>
          <w:szCs w:val="21"/>
          <w:lang w:eastAsia="zh-CN"/>
        </w:rPr>
        <w:t>1</w:t>
      </w:r>
      <w:r w:rsidR="00B6759F">
        <w:rPr>
          <w:rFonts w:ascii="Arial" w:eastAsiaTheme="minorEastAsia" w:hAnsi="Arial" w:cs="Arial" w:hint="eastAsia"/>
          <w:sz w:val="21"/>
          <w:szCs w:val="21"/>
          <w:lang w:eastAsia="zh-CN"/>
        </w:rPr>
        <w:t xml:space="preserve"> </w:t>
      </w:r>
      <w:r w:rsidR="002D72EB" w:rsidRPr="002D72EB">
        <w:rPr>
          <w:rFonts w:ascii="Arial" w:eastAsiaTheme="minorEastAsia" w:hAnsi="Arial" w:cs="Arial"/>
          <w:sz w:val="21"/>
          <w:szCs w:val="21"/>
          <w:lang w:eastAsia="zh-CN"/>
        </w:rPr>
        <w:t>is a 100% active content, high molecular weight block copolymer dispersant. It is universally compatible with solvent-based, water-based, and solvent-free high-concentration pigment grinding systems. The product offers exceptional stabilization and solvent dilution resistance, performing particularly well in waterborne systems with high solvent content. It is suitable as a universal dispersant for organic pigments and carbon black, delivering excellent color development and dispersion efficiency.</w:t>
      </w:r>
    </w:p>
    <w:p w14:paraId="43803D97" w14:textId="77777777" w:rsidR="00E85AF0" w:rsidRPr="00B6759F" w:rsidRDefault="006D720C" w:rsidP="00604F85">
      <w:pPr>
        <w:spacing w:line="300" w:lineRule="auto"/>
        <w:rPr>
          <w:rFonts w:ascii="Arial" w:eastAsia="宋体" w:hAnsi="Arial" w:cs="Arial"/>
          <w:b/>
          <w:bCs/>
          <w:sz w:val="28"/>
          <w:szCs w:val="28"/>
          <w:lang w:eastAsia="zh-CN"/>
        </w:rPr>
      </w:pPr>
      <w:r>
        <w:rPr>
          <w:rFonts w:ascii="Arial" w:eastAsia="宋体" w:hAnsi="宋体" w:cs="Arial" w:hint="eastAsia"/>
          <w:b/>
          <w:bCs/>
          <w:sz w:val="28"/>
          <w:szCs w:val="28"/>
          <w:lang w:eastAsia="zh-CN"/>
        </w:rPr>
        <w:t>PHYSICAL PROPERTIES</w:t>
      </w:r>
    </w:p>
    <w:tbl>
      <w:tblPr>
        <w:tblStyle w:val="a3"/>
        <w:tblW w:w="7863"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673"/>
        <w:gridCol w:w="3190"/>
      </w:tblGrid>
      <w:tr w:rsidR="000542EA" w:rsidRPr="00B6759F" w14:paraId="272962DE" w14:textId="77777777" w:rsidTr="00F5507D">
        <w:trPr>
          <w:jc w:val="center"/>
        </w:trPr>
        <w:tc>
          <w:tcPr>
            <w:tcW w:w="4673" w:type="dxa"/>
            <w:vAlign w:val="center"/>
          </w:tcPr>
          <w:p w14:paraId="29C7A438" w14:textId="77777777" w:rsidR="000542EA" w:rsidRPr="00B6759F" w:rsidRDefault="006D720C" w:rsidP="00604F85">
            <w:pPr>
              <w:pStyle w:val="ChartData"/>
              <w:spacing w:line="300" w:lineRule="auto"/>
              <w:jc w:val="both"/>
              <w:rPr>
                <w:rFonts w:ascii="Arial" w:eastAsiaTheme="minorEastAsia" w:hAnsi="Arial" w:cs="Arial"/>
                <w:noProof w:val="0"/>
                <w:sz w:val="21"/>
                <w:szCs w:val="21"/>
                <w:lang w:eastAsia="zh-CN"/>
              </w:rPr>
            </w:pPr>
            <w:r>
              <w:rPr>
                <w:rFonts w:ascii="Arial" w:eastAsiaTheme="minorEastAsia" w:hAnsiTheme="minorEastAsia" w:cs="Arial" w:hint="eastAsia"/>
                <w:noProof w:val="0"/>
                <w:sz w:val="21"/>
                <w:szCs w:val="21"/>
                <w:lang w:eastAsia="zh-CN"/>
              </w:rPr>
              <w:t>Appearance</w:t>
            </w:r>
          </w:p>
        </w:tc>
        <w:tc>
          <w:tcPr>
            <w:tcW w:w="3190" w:type="dxa"/>
            <w:vAlign w:val="center"/>
          </w:tcPr>
          <w:p w14:paraId="6AF3D46E" w14:textId="77777777" w:rsidR="000542EA" w:rsidRPr="00B6759F" w:rsidRDefault="002D72EB" w:rsidP="00604F85">
            <w:pPr>
              <w:spacing w:line="300" w:lineRule="auto"/>
              <w:jc w:val="both"/>
              <w:rPr>
                <w:rFonts w:ascii="Arial" w:eastAsiaTheme="minorEastAsia" w:hAnsi="Arial" w:cs="Arial"/>
                <w:sz w:val="21"/>
                <w:szCs w:val="21"/>
                <w:lang w:eastAsia="zh-CN"/>
              </w:rPr>
            </w:pPr>
            <w:r>
              <w:rPr>
                <w:rFonts w:ascii="Arial" w:eastAsiaTheme="minorEastAsia" w:hAnsiTheme="minorEastAsia" w:cs="Arial" w:hint="eastAsia"/>
                <w:sz w:val="21"/>
                <w:szCs w:val="21"/>
                <w:lang w:eastAsia="zh-CN"/>
              </w:rPr>
              <w:t>Light yellow to yellow</w:t>
            </w:r>
          </w:p>
        </w:tc>
      </w:tr>
      <w:tr w:rsidR="000542EA" w:rsidRPr="00B6759F" w14:paraId="172D0D4B" w14:textId="77777777" w:rsidTr="00F5507D">
        <w:trPr>
          <w:jc w:val="center"/>
        </w:trPr>
        <w:tc>
          <w:tcPr>
            <w:tcW w:w="4673" w:type="dxa"/>
            <w:vAlign w:val="center"/>
          </w:tcPr>
          <w:p w14:paraId="79C2AF7E" w14:textId="77777777" w:rsidR="000542EA" w:rsidRPr="00B6759F" w:rsidRDefault="00F5507D" w:rsidP="00604F85">
            <w:pPr>
              <w:pStyle w:val="ChartData"/>
              <w:spacing w:line="300" w:lineRule="auto"/>
              <w:jc w:val="both"/>
              <w:rPr>
                <w:rFonts w:ascii="Arial" w:eastAsiaTheme="minorEastAsia" w:hAnsi="Arial" w:cs="Arial"/>
                <w:noProof w:val="0"/>
                <w:sz w:val="21"/>
                <w:szCs w:val="21"/>
                <w:lang w:eastAsia="zh-CN"/>
              </w:rPr>
            </w:pPr>
            <w:r>
              <w:rPr>
                <w:rFonts w:ascii="Arial" w:eastAsiaTheme="minorEastAsia" w:hAnsiTheme="minorEastAsia" w:cs="Arial"/>
                <w:noProof w:val="0"/>
                <w:sz w:val="21"/>
                <w:szCs w:val="21"/>
                <w:lang w:eastAsia="zh-CN"/>
              </w:rPr>
              <w:t>Active</w:t>
            </w:r>
            <w:r w:rsidR="006D720C">
              <w:rPr>
                <w:rFonts w:ascii="Arial" w:eastAsiaTheme="minorEastAsia" w:hAnsiTheme="minorEastAsia" w:cs="Arial" w:hint="eastAsia"/>
                <w:noProof w:val="0"/>
                <w:sz w:val="21"/>
                <w:szCs w:val="21"/>
                <w:lang w:eastAsia="zh-CN"/>
              </w:rPr>
              <w:t xml:space="preserve"> content, (</w:t>
            </w:r>
            <w:r w:rsidR="000542EA" w:rsidRPr="00B6759F">
              <w:rPr>
                <w:rFonts w:ascii="Arial" w:eastAsiaTheme="minorEastAsia" w:hAnsiTheme="minorEastAsia" w:cs="Arial"/>
                <w:noProof w:val="0"/>
                <w:sz w:val="21"/>
                <w:szCs w:val="21"/>
                <w:lang w:eastAsia="zh-CN"/>
              </w:rPr>
              <w:t>％</w:t>
            </w:r>
            <w:r w:rsidR="006D720C">
              <w:rPr>
                <w:rFonts w:ascii="Arial" w:eastAsiaTheme="minorEastAsia" w:hAnsiTheme="minorEastAsia" w:cs="Arial" w:hint="eastAsia"/>
                <w:noProof w:val="0"/>
                <w:sz w:val="21"/>
                <w:szCs w:val="21"/>
                <w:lang w:eastAsia="zh-CN"/>
              </w:rPr>
              <w:t>)</w:t>
            </w:r>
          </w:p>
        </w:tc>
        <w:tc>
          <w:tcPr>
            <w:tcW w:w="3190" w:type="dxa"/>
            <w:vAlign w:val="center"/>
          </w:tcPr>
          <w:p w14:paraId="3CD3749A" w14:textId="77777777" w:rsidR="000542EA" w:rsidRPr="00B6759F" w:rsidRDefault="00F5507D" w:rsidP="00604F85">
            <w:pPr>
              <w:spacing w:line="300"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100</w:t>
            </w:r>
          </w:p>
        </w:tc>
      </w:tr>
      <w:tr w:rsidR="00F5507D" w:rsidRPr="00B6759F" w14:paraId="4EBBD05C" w14:textId="77777777" w:rsidTr="00F5507D">
        <w:trPr>
          <w:jc w:val="center"/>
        </w:trPr>
        <w:tc>
          <w:tcPr>
            <w:tcW w:w="4673" w:type="dxa"/>
            <w:vAlign w:val="center"/>
          </w:tcPr>
          <w:p w14:paraId="3663A574" w14:textId="77777777" w:rsidR="00F5507D" w:rsidRDefault="00F5507D" w:rsidP="00604F85">
            <w:pPr>
              <w:pStyle w:val="ChartData"/>
              <w:spacing w:line="300" w:lineRule="auto"/>
              <w:jc w:val="both"/>
              <w:rPr>
                <w:rFonts w:ascii="Arial" w:eastAsiaTheme="minorEastAsia" w:hAnsiTheme="minorEastAsia" w:cs="Arial" w:hint="eastAsia"/>
                <w:noProof w:val="0"/>
                <w:sz w:val="21"/>
                <w:szCs w:val="21"/>
                <w:lang w:eastAsia="zh-CN"/>
              </w:rPr>
            </w:pPr>
            <w:r>
              <w:rPr>
                <w:rFonts w:ascii="Arial" w:eastAsiaTheme="minorEastAsia" w:hAnsiTheme="minorEastAsia" w:cs="Arial" w:hint="eastAsia"/>
                <w:noProof w:val="0"/>
                <w:sz w:val="21"/>
                <w:szCs w:val="21"/>
                <w:lang w:eastAsia="zh-CN"/>
              </w:rPr>
              <w:t>D</w:t>
            </w:r>
            <w:r>
              <w:rPr>
                <w:rFonts w:ascii="Arial" w:eastAsiaTheme="minorEastAsia" w:hAnsiTheme="minorEastAsia" w:cs="Arial"/>
                <w:noProof w:val="0"/>
                <w:sz w:val="21"/>
                <w:szCs w:val="21"/>
                <w:lang w:eastAsia="zh-CN"/>
              </w:rPr>
              <w:t>ensity (g/ml)</w:t>
            </w:r>
          </w:p>
        </w:tc>
        <w:tc>
          <w:tcPr>
            <w:tcW w:w="3190" w:type="dxa"/>
            <w:vAlign w:val="center"/>
          </w:tcPr>
          <w:p w14:paraId="27CF1741" w14:textId="77777777" w:rsidR="00F5507D" w:rsidRDefault="00F5507D" w:rsidP="00604F85">
            <w:pPr>
              <w:spacing w:line="300" w:lineRule="auto"/>
              <w:jc w:val="both"/>
              <w:rPr>
                <w:rFonts w:ascii="Arial" w:eastAsiaTheme="minorEastAsia" w:hAnsi="Arial" w:cs="Arial"/>
                <w:sz w:val="21"/>
                <w:szCs w:val="21"/>
                <w:lang w:eastAsia="zh-CN"/>
              </w:rPr>
            </w:pPr>
            <w:r>
              <w:rPr>
                <w:rFonts w:ascii="Arial" w:eastAsiaTheme="minorEastAsia" w:hAnsi="Arial" w:cs="Arial" w:hint="eastAsia"/>
                <w:sz w:val="21"/>
                <w:szCs w:val="21"/>
                <w:lang w:eastAsia="zh-CN"/>
              </w:rPr>
              <w:t>1</w:t>
            </w:r>
            <w:r>
              <w:rPr>
                <w:rFonts w:ascii="Arial" w:eastAsiaTheme="minorEastAsia" w:hAnsi="Arial" w:cs="Arial"/>
                <w:sz w:val="21"/>
                <w:szCs w:val="21"/>
                <w:lang w:eastAsia="zh-CN"/>
              </w:rPr>
              <w:t>.1</w:t>
            </w:r>
            <w:r w:rsidR="002D72EB">
              <w:rPr>
                <w:rFonts w:ascii="Arial" w:eastAsiaTheme="minorEastAsia" w:hAnsi="Arial" w:cs="Arial" w:hint="eastAsia"/>
                <w:sz w:val="21"/>
                <w:szCs w:val="21"/>
                <w:lang w:eastAsia="zh-CN"/>
              </w:rPr>
              <w:t>5</w:t>
            </w:r>
          </w:p>
        </w:tc>
      </w:tr>
      <w:tr w:rsidR="002D72EB" w:rsidRPr="00B6759F" w14:paraId="1E3D0B9C" w14:textId="77777777" w:rsidTr="00F5507D">
        <w:trPr>
          <w:jc w:val="center"/>
        </w:trPr>
        <w:tc>
          <w:tcPr>
            <w:tcW w:w="4673" w:type="dxa"/>
            <w:vAlign w:val="center"/>
          </w:tcPr>
          <w:p w14:paraId="163538A9" w14:textId="77777777" w:rsidR="002D72EB" w:rsidRDefault="002D72EB" w:rsidP="00604F85">
            <w:pPr>
              <w:pStyle w:val="ChartData"/>
              <w:spacing w:line="300" w:lineRule="auto"/>
              <w:jc w:val="both"/>
              <w:rPr>
                <w:rFonts w:ascii="Arial" w:eastAsiaTheme="minorEastAsia" w:hAnsiTheme="minorEastAsia" w:cs="Arial" w:hint="eastAsia"/>
                <w:noProof w:val="0"/>
                <w:sz w:val="21"/>
                <w:szCs w:val="21"/>
                <w:lang w:eastAsia="zh-CN"/>
              </w:rPr>
            </w:pPr>
            <w:r>
              <w:rPr>
                <w:rFonts w:ascii="Arial" w:eastAsiaTheme="minorEastAsia" w:hAnsiTheme="minorEastAsia" w:cs="Arial" w:hint="eastAsia"/>
                <w:noProof w:val="0"/>
                <w:sz w:val="21"/>
                <w:szCs w:val="21"/>
                <w:lang w:eastAsia="zh-CN"/>
              </w:rPr>
              <w:t>Viscosity (</w:t>
            </w:r>
            <w:proofErr w:type="spellStart"/>
            <w:r>
              <w:rPr>
                <w:rFonts w:ascii="Arial" w:eastAsiaTheme="minorEastAsia" w:hAnsiTheme="minorEastAsia" w:cs="Arial" w:hint="eastAsia"/>
                <w:noProof w:val="0"/>
                <w:sz w:val="21"/>
                <w:szCs w:val="21"/>
                <w:lang w:eastAsia="zh-CN"/>
              </w:rPr>
              <w:t>mPas</w:t>
            </w:r>
            <w:proofErr w:type="spellEnd"/>
            <w:r>
              <w:rPr>
                <w:rFonts w:ascii="Arial" w:eastAsiaTheme="minorEastAsia" w:hAnsiTheme="minorEastAsia" w:cs="Arial" w:hint="eastAsia"/>
                <w:noProof w:val="0"/>
                <w:sz w:val="21"/>
                <w:szCs w:val="21"/>
                <w:lang w:eastAsia="zh-CN"/>
              </w:rPr>
              <w:t>, 25</w:t>
            </w:r>
            <w:r>
              <w:rPr>
                <w:rFonts w:ascii="Arial" w:eastAsiaTheme="minorEastAsia" w:hAnsiTheme="minorEastAsia" w:cs="Arial" w:hint="eastAsia"/>
                <w:noProof w:val="0"/>
                <w:sz w:val="21"/>
                <w:szCs w:val="21"/>
                <w:lang w:eastAsia="zh-CN"/>
              </w:rPr>
              <w:t>℃</w:t>
            </w:r>
            <w:r>
              <w:rPr>
                <w:rFonts w:ascii="Arial" w:eastAsiaTheme="minorEastAsia" w:hAnsiTheme="minorEastAsia" w:cs="Arial" w:hint="eastAsia"/>
                <w:noProof w:val="0"/>
                <w:sz w:val="21"/>
                <w:szCs w:val="21"/>
                <w:lang w:eastAsia="zh-CN"/>
              </w:rPr>
              <w:t>)</w:t>
            </w:r>
          </w:p>
        </w:tc>
        <w:tc>
          <w:tcPr>
            <w:tcW w:w="3190" w:type="dxa"/>
            <w:vAlign w:val="center"/>
          </w:tcPr>
          <w:p w14:paraId="12CB59B4" w14:textId="77777777" w:rsidR="002D72EB" w:rsidRDefault="002D72EB" w:rsidP="00604F85">
            <w:pPr>
              <w:spacing w:line="300" w:lineRule="auto"/>
              <w:jc w:val="both"/>
              <w:rPr>
                <w:rFonts w:ascii="Arial" w:eastAsiaTheme="minorEastAsia" w:hAnsi="Arial" w:cs="Arial"/>
                <w:sz w:val="21"/>
                <w:szCs w:val="21"/>
                <w:lang w:eastAsia="zh-CN"/>
              </w:rPr>
            </w:pPr>
            <w:r>
              <w:rPr>
                <w:rFonts w:ascii="Arial" w:eastAsiaTheme="minorEastAsia" w:hAnsi="Arial" w:cs="Arial" w:hint="eastAsia"/>
                <w:sz w:val="21"/>
                <w:szCs w:val="21"/>
                <w:lang w:eastAsia="zh-CN"/>
              </w:rPr>
              <w:t>&lt;8000</w:t>
            </w:r>
          </w:p>
        </w:tc>
      </w:tr>
    </w:tbl>
    <w:p w14:paraId="26F32283" w14:textId="77777777" w:rsidR="009D4350" w:rsidRPr="00941437" w:rsidRDefault="006D720C" w:rsidP="00604F85">
      <w:pPr>
        <w:spacing w:line="300" w:lineRule="auto"/>
        <w:ind w:firstLine="284"/>
        <w:rPr>
          <w:rFonts w:ascii="Arial Narrow" w:eastAsia="楷体" w:hAnsi="Arial Narrow" w:cs="Arial"/>
          <w:sz w:val="18"/>
          <w:szCs w:val="18"/>
          <w:lang w:eastAsia="zh-CN"/>
        </w:rPr>
      </w:pPr>
      <w:r w:rsidRPr="00A954D4">
        <w:rPr>
          <w:rFonts w:ascii="Arial Narrow" w:eastAsia="楷体" w:hAnsi="Arial Narrow" w:cs="Arial"/>
          <w:sz w:val="18"/>
          <w:szCs w:val="18"/>
          <w:lang w:eastAsia="zh-CN"/>
        </w:rPr>
        <w:t>Note</w:t>
      </w:r>
      <w:r w:rsidRPr="00A954D4">
        <w:rPr>
          <w:rFonts w:ascii="Arial Narrow" w:eastAsia="楷体" w:hAnsi="Arial" w:cs="Arial"/>
          <w:sz w:val="18"/>
          <w:szCs w:val="18"/>
          <w:lang w:eastAsia="zh-CN"/>
        </w:rPr>
        <w:t>：</w:t>
      </w:r>
      <w:r w:rsidRPr="00A954D4">
        <w:rPr>
          <w:rFonts w:ascii="Arial Narrow" w:eastAsia="楷体" w:hAnsi="Arial Narrow" w:cs="Arial"/>
          <w:sz w:val="18"/>
          <w:szCs w:val="18"/>
          <w:lang w:eastAsia="zh-CN"/>
        </w:rPr>
        <w:t>The</w:t>
      </w:r>
      <w:r>
        <w:rPr>
          <w:rFonts w:ascii="Arial Narrow" w:eastAsia="楷体" w:hAnsi="Arial Narrow" w:cs="Arial"/>
          <w:sz w:val="18"/>
          <w:szCs w:val="18"/>
          <w:lang w:eastAsia="zh-CN"/>
        </w:rPr>
        <w:t>se properties are only typical</w:t>
      </w:r>
      <w:r>
        <w:rPr>
          <w:rFonts w:ascii="Arial Narrow" w:eastAsia="楷体" w:hAnsi="Arial Narrow" w:cs="Arial" w:hint="eastAsia"/>
          <w:sz w:val="18"/>
          <w:szCs w:val="18"/>
          <w:lang w:eastAsia="zh-CN"/>
        </w:rPr>
        <w:t xml:space="preserve">, and do </w:t>
      </w:r>
      <w:r w:rsidRPr="00A954D4">
        <w:rPr>
          <w:rFonts w:ascii="Arial Narrow" w:eastAsia="楷体" w:hAnsi="Arial Narrow" w:cs="Arial"/>
          <w:sz w:val="18"/>
          <w:szCs w:val="18"/>
          <w:lang w:eastAsia="zh-CN"/>
        </w:rPr>
        <w:t xml:space="preserve">not </w:t>
      </w:r>
      <w:r>
        <w:rPr>
          <w:rFonts w:ascii="Arial Narrow" w:eastAsia="楷体" w:hAnsi="Arial Narrow" w:cs="Arial" w:hint="eastAsia"/>
          <w:sz w:val="18"/>
          <w:szCs w:val="18"/>
          <w:lang w:eastAsia="zh-CN"/>
        </w:rPr>
        <w:t>represent</w:t>
      </w:r>
      <w:r w:rsidRPr="00A954D4">
        <w:rPr>
          <w:rFonts w:ascii="Arial Narrow" w:eastAsia="楷体" w:hAnsi="Arial Narrow" w:cs="Arial"/>
          <w:sz w:val="18"/>
          <w:szCs w:val="18"/>
          <w:lang w:eastAsia="zh-CN"/>
        </w:rPr>
        <w:t xml:space="preserve"> </w:t>
      </w:r>
      <w:r>
        <w:rPr>
          <w:rFonts w:ascii="Arial Narrow" w:eastAsia="楷体" w:hAnsi="Arial Narrow" w:cs="Arial" w:hint="eastAsia"/>
          <w:sz w:val="18"/>
          <w:szCs w:val="18"/>
          <w:lang w:eastAsia="zh-CN"/>
        </w:rPr>
        <w:t xml:space="preserve">product </w:t>
      </w:r>
      <w:r w:rsidRPr="00A954D4">
        <w:rPr>
          <w:rFonts w:ascii="Arial Narrow" w:eastAsia="楷体" w:hAnsi="Arial Narrow" w:cs="Arial"/>
          <w:sz w:val="18"/>
          <w:szCs w:val="18"/>
          <w:lang w:eastAsia="zh-CN"/>
        </w:rPr>
        <w:t>specifications</w:t>
      </w:r>
    </w:p>
    <w:p w14:paraId="587FAFF7" w14:textId="77777777" w:rsidR="009D1DF0" w:rsidRPr="00B6759F" w:rsidRDefault="006D720C" w:rsidP="00604F85">
      <w:pPr>
        <w:spacing w:line="300" w:lineRule="auto"/>
        <w:rPr>
          <w:rFonts w:ascii="Arial" w:eastAsia="宋体" w:hAnsi="Arial" w:cs="Arial"/>
          <w:b/>
          <w:bCs/>
          <w:sz w:val="28"/>
          <w:szCs w:val="28"/>
          <w:lang w:eastAsia="zh-CN"/>
        </w:rPr>
      </w:pPr>
      <w:r>
        <w:rPr>
          <w:rFonts w:ascii="Arial" w:eastAsia="宋体" w:hAnsi="宋体" w:cs="Arial" w:hint="eastAsia"/>
          <w:b/>
          <w:bCs/>
          <w:sz w:val="28"/>
          <w:szCs w:val="28"/>
          <w:lang w:eastAsia="zh-CN"/>
        </w:rPr>
        <w:t>APPLICATION CHARACTERISTIC AND ADVANTAGES</w:t>
      </w:r>
    </w:p>
    <w:p w14:paraId="358E6F4C" w14:textId="77777777" w:rsidR="002D72EB" w:rsidRPr="002D72EB" w:rsidRDefault="00BC0650" w:rsidP="00604F85">
      <w:pPr>
        <w:spacing w:line="300" w:lineRule="auto"/>
        <w:jc w:val="both"/>
        <w:rPr>
          <w:rFonts w:ascii="Arial" w:eastAsiaTheme="minorEastAsia" w:hAnsi="Arial" w:cs="Arial"/>
          <w:sz w:val="21"/>
          <w:szCs w:val="21"/>
          <w:lang w:eastAsia="zh-CN"/>
        </w:rPr>
      </w:pPr>
      <w:r w:rsidRPr="00B6759F">
        <w:rPr>
          <w:rFonts w:ascii="Arial" w:eastAsiaTheme="minorEastAsia" w:hAnsi="Arial" w:cs="Arial"/>
          <w:b/>
          <w:sz w:val="21"/>
          <w:szCs w:val="21"/>
          <w:lang w:eastAsia="zh-CN"/>
        </w:rPr>
        <w:t xml:space="preserve">Coadd™ </w:t>
      </w:r>
      <w:r w:rsidR="00941437">
        <w:rPr>
          <w:rFonts w:ascii="Arial" w:eastAsiaTheme="minorEastAsia" w:hAnsi="Arial" w:cs="Arial"/>
          <w:b/>
          <w:sz w:val="21"/>
          <w:szCs w:val="21"/>
          <w:lang w:eastAsia="zh-CN"/>
        </w:rPr>
        <w:t>D</w:t>
      </w:r>
      <w:r w:rsidR="00BA6660">
        <w:rPr>
          <w:rFonts w:ascii="Arial" w:eastAsiaTheme="minorEastAsia" w:hAnsi="Arial" w:cs="Arial" w:hint="eastAsia"/>
          <w:b/>
          <w:sz w:val="21"/>
          <w:szCs w:val="21"/>
          <w:lang w:eastAsia="zh-CN"/>
        </w:rPr>
        <w:t>-</w:t>
      </w:r>
      <w:r w:rsidR="002026E5">
        <w:rPr>
          <w:rFonts w:ascii="Arial" w:eastAsiaTheme="minorEastAsia" w:hAnsi="Arial" w:cs="Arial" w:hint="eastAsia"/>
          <w:b/>
          <w:sz w:val="21"/>
          <w:szCs w:val="21"/>
          <w:lang w:eastAsia="zh-CN"/>
        </w:rPr>
        <w:t>607</w:t>
      </w:r>
      <w:r w:rsidR="002D72EB">
        <w:rPr>
          <w:rFonts w:ascii="Arial" w:eastAsiaTheme="minorEastAsia" w:hAnsi="Arial" w:cs="Arial" w:hint="eastAsia"/>
          <w:b/>
          <w:sz w:val="21"/>
          <w:szCs w:val="21"/>
          <w:lang w:eastAsia="zh-CN"/>
        </w:rPr>
        <w:t>1</w:t>
      </w:r>
      <w:r w:rsidR="00575627">
        <w:rPr>
          <w:rFonts w:ascii="Arial" w:eastAsiaTheme="minorEastAsia" w:hAnsi="Arial" w:cs="Arial" w:hint="eastAsia"/>
          <w:b/>
          <w:sz w:val="21"/>
          <w:szCs w:val="21"/>
          <w:lang w:eastAsia="zh-CN"/>
        </w:rPr>
        <w:t xml:space="preserve"> </w:t>
      </w:r>
      <w:r w:rsidR="002D72EB" w:rsidRPr="002D72EB">
        <w:rPr>
          <w:rFonts w:ascii="Arial" w:eastAsiaTheme="minorEastAsia" w:hAnsi="Arial" w:cs="Arial"/>
          <w:sz w:val="21"/>
          <w:szCs w:val="21"/>
          <w:lang w:eastAsia="zh-CN"/>
        </w:rPr>
        <w:t>is recommended for grinding high-concentration pigment pastes of organic pigments and carbon black. It delivers excellent viscosity reduction and stabilization, with outstanding solvent dilution resistance and stability, particularly in water-soluble resin systems with high solvent content. The product features multifunctional long-chain steric hindrance, ensuring prolonged anchoring to pigments.</w:t>
      </w:r>
    </w:p>
    <w:p w14:paraId="345084E9" w14:textId="77777777" w:rsidR="00BC0650" w:rsidRDefault="002D72EB" w:rsidP="00604F85">
      <w:pPr>
        <w:spacing w:line="300" w:lineRule="auto"/>
        <w:jc w:val="both"/>
        <w:rPr>
          <w:rFonts w:ascii="Arial" w:eastAsiaTheme="minorEastAsia" w:hAnsi="Arial" w:cs="Arial"/>
          <w:sz w:val="21"/>
          <w:szCs w:val="21"/>
          <w:lang w:eastAsia="zh-CN"/>
        </w:rPr>
      </w:pPr>
      <w:r w:rsidRPr="002D72EB">
        <w:rPr>
          <w:rFonts w:ascii="Arial" w:eastAsiaTheme="minorEastAsia" w:hAnsi="Arial" w:cs="Arial"/>
          <w:sz w:val="21"/>
          <w:szCs w:val="21"/>
          <w:lang w:eastAsia="zh-CN"/>
        </w:rPr>
        <w:t>It can be used as a co-dispersant to enhance stability and color development or as a post-additive to improve stability during color adjustment processes.</w:t>
      </w:r>
    </w:p>
    <w:p w14:paraId="1007B15E" w14:textId="77777777" w:rsidR="00FF6A45" w:rsidRDefault="00FF6A45" w:rsidP="00604F85">
      <w:pPr>
        <w:pStyle w:val="a4"/>
        <w:numPr>
          <w:ilvl w:val="0"/>
          <w:numId w:val="1"/>
        </w:numPr>
        <w:spacing w:after="0" w:line="300" w:lineRule="auto"/>
        <w:ind w:hanging="278"/>
        <w:jc w:val="both"/>
        <w:rPr>
          <w:rFonts w:ascii="Arial" w:eastAsiaTheme="minorEastAsia" w:hAnsi="Arial" w:cs="Arial"/>
          <w:sz w:val="21"/>
          <w:szCs w:val="21"/>
          <w:lang w:eastAsia="zh-CN"/>
        </w:rPr>
        <w:sectPr w:rsidR="00FF6A45" w:rsidSect="00640E62">
          <w:headerReference w:type="default" r:id="rId7"/>
          <w:footerReference w:type="default" r:id="rId8"/>
          <w:pgSz w:w="11906" w:h="16838"/>
          <w:pgMar w:top="1440" w:right="1800" w:bottom="1440" w:left="1800" w:header="850" w:footer="510" w:gutter="0"/>
          <w:cols w:space="425"/>
          <w:docGrid w:type="lines" w:linePitch="326"/>
        </w:sectPr>
      </w:pPr>
    </w:p>
    <w:p w14:paraId="122C2B02" w14:textId="77777777" w:rsidR="00941437" w:rsidRDefault="00941437" w:rsidP="00604F85">
      <w:pPr>
        <w:pStyle w:val="a4"/>
        <w:numPr>
          <w:ilvl w:val="0"/>
          <w:numId w:val="1"/>
        </w:numPr>
        <w:spacing w:after="0" w:line="300" w:lineRule="auto"/>
        <w:ind w:hanging="278"/>
        <w:jc w:val="both"/>
        <w:rPr>
          <w:rFonts w:ascii="Arial" w:eastAsiaTheme="minorEastAsia" w:hAnsi="Arial" w:cs="Arial"/>
          <w:sz w:val="21"/>
          <w:szCs w:val="21"/>
          <w:lang w:eastAsia="zh-CN"/>
        </w:rPr>
      </w:pPr>
      <w:r>
        <w:rPr>
          <w:rFonts w:ascii="Arial" w:eastAsiaTheme="minorEastAsia" w:hAnsi="Arial" w:cs="Arial"/>
          <w:sz w:val="21"/>
          <w:szCs w:val="21"/>
          <w:lang w:eastAsia="zh-CN"/>
        </w:rPr>
        <w:t xml:space="preserve">Titanium oxide: </w:t>
      </w:r>
      <w:r w:rsidR="002D72EB">
        <w:rPr>
          <w:rFonts w:ascii="Arial" w:eastAsiaTheme="minorEastAsia" w:hAnsi="Arial" w:cs="Arial" w:hint="eastAsia"/>
          <w:sz w:val="21"/>
          <w:szCs w:val="21"/>
          <w:lang w:eastAsia="zh-CN"/>
        </w:rPr>
        <w:t>2</w:t>
      </w:r>
      <w:r>
        <w:rPr>
          <w:rFonts w:ascii="Arial" w:eastAsiaTheme="minorEastAsia" w:hAnsi="Arial" w:cs="Arial"/>
          <w:sz w:val="21"/>
          <w:szCs w:val="21"/>
          <w:lang w:eastAsia="zh-CN"/>
        </w:rPr>
        <w:t xml:space="preserve"> – 5%;</w:t>
      </w:r>
    </w:p>
    <w:p w14:paraId="437AA69F" w14:textId="77777777" w:rsidR="00941437" w:rsidRDefault="00941437" w:rsidP="00604F85">
      <w:pPr>
        <w:pStyle w:val="a4"/>
        <w:numPr>
          <w:ilvl w:val="0"/>
          <w:numId w:val="1"/>
        </w:numPr>
        <w:spacing w:after="0" w:line="300" w:lineRule="auto"/>
        <w:ind w:hanging="278"/>
        <w:jc w:val="both"/>
        <w:rPr>
          <w:rFonts w:ascii="Arial" w:eastAsiaTheme="minorEastAsia" w:hAnsi="Arial" w:cs="Arial"/>
          <w:sz w:val="21"/>
          <w:szCs w:val="21"/>
          <w:lang w:eastAsia="zh-CN"/>
        </w:rPr>
      </w:pPr>
      <w:r>
        <w:rPr>
          <w:rFonts w:ascii="Arial" w:eastAsiaTheme="minorEastAsia" w:hAnsi="Arial" w:cs="Arial"/>
          <w:sz w:val="21"/>
          <w:szCs w:val="21"/>
          <w:lang w:eastAsia="zh-CN"/>
        </w:rPr>
        <w:t xml:space="preserve">Inorganic pigments: </w:t>
      </w:r>
      <w:r w:rsidR="002D72EB">
        <w:rPr>
          <w:rFonts w:ascii="Arial" w:eastAsiaTheme="minorEastAsia" w:hAnsi="Arial" w:cs="Arial" w:hint="eastAsia"/>
          <w:sz w:val="21"/>
          <w:szCs w:val="21"/>
          <w:lang w:eastAsia="zh-CN"/>
        </w:rPr>
        <w:t>5</w:t>
      </w:r>
      <w:r>
        <w:rPr>
          <w:rFonts w:ascii="Arial" w:eastAsiaTheme="minorEastAsia" w:hAnsi="Arial" w:cs="Arial"/>
          <w:sz w:val="21"/>
          <w:szCs w:val="21"/>
          <w:lang w:eastAsia="zh-CN"/>
        </w:rPr>
        <w:t xml:space="preserve"> – </w:t>
      </w:r>
      <w:r w:rsidR="002D72EB">
        <w:rPr>
          <w:rFonts w:ascii="Arial" w:eastAsiaTheme="minorEastAsia" w:hAnsi="Arial" w:cs="Arial" w:hint="eastAsia"/>
          <w:sz w:val="21"/>
          <w:szCs w:val="21"/>
          <w:lang w:eastAsia="zh-CN"/>
        </w:rPr>
        <w:t>1</w:t>
      </w:r>
      <w:r>
        <w:rPr>
          <w:rFonts w:ascii="Arial" w:eastAsiaTheme="minorEastAsia" w:hAnsi="Arial" w:cs="Arial"/>
          <w:sz w:val="21"/>
          <w:szCs w:val="21"/>
          <w:lang w:eastAsia="zh-CN"/>
        </w:rPr>
        <w:t>5%;</w:t>
      </w:r>
    </w:p>
    <w:p w14:paraId="5356F2C2" w14:textId="77777777" w:rsidR="00941437" w:rsidRDefault="00941437" w:rsidP="00604F85">
      <w:pPr>
        <w:pStyle w:val="a4"/>
        <w:numPr>
          <w:ilvl w:val="0"/>
          <w:numId w:val="1"/>
        </w:numPr>
        <w:spacing w:after="0" w:line="300" w:lineRule="auto"/>
        <w:ind w:hanging="278"/>
        <w:jc w:val="both"/>
        <w:rPr>
          <w:rFonts w:ascii="Arial" w:eastAsiaTheme="minorEastAsia" w:hAnsi="Arial" w:cs="Arial"/>
          <w:sz w:val="21"/>
          <w:szCs w:val="21"/>
          <w:lang w:eastAsia="zh-CN"/>
        </w:rPr>
      </w:pPr>
      <w:r>
        <w:rPr>
          <w:rFonts w:ascii="Arial" w:eastAsiaTheme="minorEastAsia" w:hAnsi="Arial" w:cs="Arial" w:hint="eastAsia"/>
          <w:sz w:val="21"/>
          <w:szCs w:val="21"/>
          <w:lang w:eastAsia="zh-CN"/>
        </w:rPr>
        <w:t>O</w:t>
      </w:r>
      <w:r>
        <w:rPr>
          <w:rFonts w:ascii="Arial" w:eastAsiaTheme="minorEastAsia" w:hAnsi="Arial" w:cs="Arial"/>
          <w:sz w:val="21"/>
          <w:szCs w:val="21"/>
          <w:lang w:eastAsia="zh-CN"/>
        </w:rPr>
        <w:t>rganic pigments: 10 – 25%;</w:t>
      </w:r>
    </w:p>
    <w:p w14:paraId="49ABE3E1" w14:textId="77777777" w:rsidR="00941437" w:rsidRDefault="00941437" w:rsidP="00604F85">
      <w:pPr>
        <w:pStyle w:val="a4"/>
        <w:numPr>
          <w:ilvl w:val="0"/>
          <w:numId w:val="1"/>
        </w:numPr>
        <w:spacing w:after="0" w:line="300" w:lineRule="auto"/>
        <w:ind w:hanging="278"/>
        <w:jc w:val="both"/>
        <w:rPr>
          <w:rFonts w:ascii="Arial" w:eastAsiaTheme="minorEastAsia" w:hAnsi="Arial" w:cs="Arial"/>
          <w:sz w:val="21"/>
          <w:szCs w:val="21"/>
          <w:lang w:eastAsia="zh-CN"/>
        </w:rPr>
      </w:pPr>
      <w:r>
        <w:rPr>
          <w:rFonts w:ascii="Arial" w:eastAsiaTheme="minorEastAsia" w:hAnsi="Arial" w:cs="Arial"/>
          <w:sz w:val="21"/>
          <w:szCs w:val="21"/>
          <w:lang w:eastAsia="zh-CN"/>
        </w:rPr>
        <w:t>Carbon black: 15 – 50%</w:t>
      </w:r>
    </w:p>
    <w:p w14:paraId="6251FBB0" w14:textId="77777777" w:rsidR="00604F85" w:rsidRDefault="00604F85" w:rsidP="00604F85">
      <w:pPr>
        <w:spacing w:line="300" w:lineRule="auto"/>
        <w:rPr>
          <w:rFonts w:ascii="Arial" w:eastAsia="宋体" w:hAnsi="Arial" w:cs="Arial" w:hint="eastAsia"/>
          <w:b/>
          <w:sz w:val="28"/>
          <w:lang w:eastAsia="zh-CN"/>
        </w:rPr>
        <w:sectPr w:rsidR="00604F85" w:rsidSect="00FF6A45">
          <w:type w:val="continuous"/>
          <w:pgSz w:w="11906" w:h="16838"/>
          <w:pgMar w:top="1440" w:right="1800" w:bottom="1440" w:left="1800" w:header="850" w:footer="510" w:gutter="0"/>
          <w:cols w:num="2" w:space="425"/>
          <w:docGrid w:type="lines" w:linePitch="326"/>
        </w:sectPr>
      </w:pPr>
    </w:p>
    <w:p w14:paraId="0852B77F" w14:textId="5C86FDAF" w:rsidR="00604F85" w:rsidRPr="00604F85" w:rsidRDefault="00604F85" w:rsidP="00604F85">
      <w:pPr>
        <w:spacing w:line="300" w:lineRule="auto"/>
        <w:jc w:val="both"/>
        <w:rPr>
          <w:rFonts w:ascii="Arial" w:eastAsiaTheme="minorEastAsia" w:hAnsi="Arial" w:cs="Arial" w:hint="eastAsia"/>
          <w:sz w:val="21"/>
          <w:szCs w:val="21"/>
          <w:lang w:eastAsia="zh-CN"/>
        </w:rPr>
      </w:pPr>
      <w:r w:rsidRPr="001558EA">
        <w:rPr>
          <w:rFonts w:ascii="Arial" w:eastAsiaTheme="minorEastAsia" w:hAnsi="Arial" w:cs="Arial" w:hint="eastAsia"/>
          <w:sz w:val="21"/>
          <w:szCs w:val="21"/>
          <w:lang w:eastAsia="zh-CN"/>
        </w:rPr>
        <w:t xml:space="preserve">Suggested transportation and storage at </w:t>
      </w:r>
      <w:r>
        <w:rPr>
          <w:rFonts w:ascii="Arial" w:eastAsiaTheme="minorEastAsia" w:hAnsi="Arial" w:cs="Arial" w:hint="eastAsia"/>
          <w:sz w:val="21"/>
          <w:szCs w:val="21"/>
          <w:lang w:eastAsia="zh-CN"/>
        </w:rPr>
        <w:t>0</w:t>
      </w:r>
      <w:r w:rsidRPr="001558EA">
        <w:rPr>
          <w:rFonts w:ascii="Arial" w:eastAsiaTheme="minorEastAsia" w:hAnsi="Arial" w:cs="Arial" w:hint="eastAsia"/>
          <w:sz w:val="21"/>
          <w:szCs w:val="21"/>
          <w:lang w:eastAsia="zh-CN"/>
        </w:rPr>
        <w:t>-45</w:t>
      </w:r>
      <w:r w:rsidRPr="001558EA">
        <w:rPr>
          <w:rFonts w:ascii="Arial" w:eastAsiaTheme="minorEastAsia" w:hAnsi="Arial" w:cs="Arial" w:hint="eastAsia"/>
          <w:sz w:val="21"/>
          <w:szCs w:val="21"/>
          <w:lang w:eastAsia="zh-CN"/>
        </w:rPr>
        <w:t>℃</w:t>
      </w:r>
      <w:r w:rsidRPr="001558EA">
        <w:rPr>
          <w:rFonts w:ascii="Arial" w:eastAsiaTheme="minorEastAsia" w:hAnsi="Arial" w:cs="Arial" w:hint="eastAsia"/>
          <w:sz w:val="21"/>
          <w:szCs w:val="21"/>
          <w:lang w:eastAsia="zh-CN"/>
        </w:rPr>
        <w:t xml:space="preserve">, maybe frozen </w:t>
      </w:r>
      <w:r w:rsidRPr="001558EA">
        <w:rPr>
          <w:rFonts w:ascii="Arial" w:eastAsiaTheme="minorEastAsia" w:hAnsi="Arial" w:cs="Arial"/>
          <w:sz w:val="21"/>
          <w:szCs w:val="21"/>
          <w:lang w:eastAsia="zh-CN"/>
        </w:rPr>
        <w:t>when</w:t>
      </w:r>
      <w:r w:rsidRPr="001558EA">
        <w:rPr>
          <w:rFonts w:ascii="Arial" w:eastAsiaTheme="minorEastAsia" w:hAnsi="Arial" w:cs="Arial" w:hint="eastAsia"/>
          <w:sz w:val="21"/>
          <w:szCs w:val="21"/>
          <w:lang w:eastAsia="zh-CN"/>
        </w:rPr>
        <w:t xml:space="preserve"> temperature less than 0</w:t>
      </w:r>
      <w:r w:rsidRPr="001558EA">
        <w:rPr>
          <w:rFonts w:ascii="Arial" w:eastAsiaTheme="minorEastAsia" w:hAnsi="Arial" w:cs="Arial" w:hint="eastAsia"/>
          <w:sz w:val="21"/>
          <w:szCs w:val="21"/>
          <w:lang w:eastAsia="zh-CN"/>
        </w:rPr>
        <w:t>℃</w:t>
      </w:r>
      <w:r w:rsidRPr="001558EA">
        <w:rPr>
          <w:rFonts w:ascii="Arial" w:eastAsiaTheme="minorEastAsia" w:hAnsi="Arial" w:cs="Arial" w:hint="eastAsia"/>
          <w:sz w:val="21"/>
          <w:szCs w:val="21"/>
          <w:lang w:eastAsia="zh-CN"/>
        </w:rPr>
        <w:t>. T</w:t>
      </w:r>
      <w:r w:rsidRPr="001558EA">
        <w:rPr>
          <w:rFonts w:ascii="Arial" w:eastAsiaTheme="minorEastAsia" w:hAnsi="Arial" w:cs="Arial"/>
          <w:sz w:val="21"/>
          <w:szCs w:val="21"/>
          <w:lang w:eastAsia="zh-CN"/>
        </w:rPr>
        <w:t>heoretically</w:t>
      </w:r>
      <w:r w:rsidRPr="001558EA">
        <w:rPr>
          <w:rFonts w:ascii="Arial" w:eastAsiaTheme="minorEastAsia" w:hAnsi="Arial" w:cs="Arial" w:hint="eastAsia"/>
          <w:sz w:val="21"/>
          <w:szCs w:val="21"/>
          <w:lang w:eastAsia="zh-CN"/>
        </w:rPr>
        <w:t xml:space="preserve">, frozen not effect </w:t>
      </w:r>
      <w:r w:rsidRPr="001558EA">
        <w:rPr>
          <w:rFonts w:ascii="Arial" w:eastAsiaTheme="minorEastAsia" w:hAnsi="Arial" w:cs="Arial"/>
          <w:sz w:val="21"/>
          <w:szCs w:val="21"/>
          <w:lang w:eastAsia="zh-CN"/>
        </w:rPr>
        <w:t>on th</w:t>
      </w:r>
      <w:r w:rsidRPr="001558EA">
        <w:rPr>
          <w:rFonts w:ascii="Arial" w:eastAsiaTheme="minorEastAsia" w:hAnsi="Arial" w:cs="Arial" w:hint="eastAsia"/>
          <w:sz w:val="21"/>
          <w:szCs w:val="21"/>
          <w:lang w:eastAsia="zh-CN"/>
        </w:rPr>
        <w:t>e performance, please warm it to 30-40</w:t>
      </w:r>
      <w:r w:rsidRPr="001558EA">
        <w:rPr>
          <w:rFonts w:ascii="Arial" w:eastAsiaTheme="minorEastAsia" w:hAnsi="Arial" w:cs="Arial" w:hint="eastAsia"/>
          <w:sz w:val="21"/>
          <w:szCs w:val="21"/>
          <w:lang w:eastAsia="zh-CN"/>
        </w:rPr>
        <w:t>℃</w:t>
      </w:r>
      <w:r w:rsidRPr="001558EA">
        <w:rPr>
          <w:rFonts w:ascii="Arial" w:eastAsiaTheme="minorEastAsia" w:hAnsi="Arial" w:cs="Arial" w:hint="eastAsia"/>
          <w:sz w:val="21"/>
          <w:szCs w:val="21"/>
          <w:lang w:eastAsia="zh-CN"/>
        </w:rPr>
        <w:t xml:space="preserve"> and mix it well before use when frozen happened and </w:t>
      </w:r>
      <w:r w:rsidRPr="001558EA">
        <w:rPr>
          <w:rFonts w:ascii="Arial" w:eastAsiaTheme="minorEastAsia" w:hAnsi="Arial" w:cs="Arial"/>
          <w:sz w:val="21"/>
          <w:szCs w:val="21"/>
          <w:lang w:eastAsia="zh-CN"/>
        </w:rPr>
        <w:t>confi</w:t>
      </w:r>
      <w:r w:rsidRPr="001558EA">
        <w:rPr>
          <w:rFonts w:ascii="Arial" w:eastAsiaTheme="minorEastAsia" w:hAnsi="Arial" w:cs="Arial" w:hint="eastAsia"/>
          <w:sz w:val="21"/>
          <w:szCs w:val="21"/>
          <w:lang w:eastAsia="zh-CN"/>
        </w:rPr>
        <w:t>rm the performance firstly.</w:t>
      </w:r>
    </w:p>
    <w:p w14:paraId="7E317DAE" w14:textId="11085933" w:rsidR="00575627" w:rsidRPr="00584A24" w:rsidRDefault="00575627" w:rsidP="00604F85">
      <w:pPr>
        <w:spacing w:line="300" w:lineRule="auto"/>
        <w:rPr>
          <w:rFonts w:ascii="Arial" w:eastAsia="宋体" w:hAnsi="Arial" w:cs="Arial"/>
          <w:b/>
          <w:sz w:val="28"/>
          <w:lang w:eastAsia="zh-CN"/>
        </w:rPr>
      </w:pPr>
      <w:r w:rsidRPr="00584A24">
        <w:rPr>
          <w:rFonts w:ascii="Arial" w:eastAsia="宋体" w:hAnsi="Arial" w:cs="Arial"/>
          <w:b/>
          <w:sz w:val="28"/>
          <w:lang w:eastAsia="zh-CN"/>
        </w:rPr>
        <w:t>SAFETY NOTICE</w:t>
      </w:r>
    </w:p>
    <w:p w14:paraId="4BAF67E2" w14:textId="77777777" w:rsidR="00575627" w:rsidRPr="00941437" w:rsidRDefault="00575627" w:rsidP="00604F85">
      <w:pPr>
        <w:spacing w:line="300" w:lineRule="auto"/>
        <w:rPr>
          <w:rFonts w:ascii="Arial" w:eastAsiaTheme="minorEastAsia" w:hAnsi="Arial" w:cs="Arial"/>
          <w:sz w:val="21"/>
          <w:szCs w:val="22"/>
          <w:lang w:eastAsia="zh-CN"/>
        </w:rPr>
      </w:pPr>
      <w:r w:rsidRPr="00584A24">
        <w:rPr>
          <w:rFonts w:ascii="Arial" w:eastAsiaTheme="minorEastAsia" w:hAnsi="Arial" w:cs="Arial"/>
          <w:sz w:val="21"/>
          <w:szCs w:val="22"/>
          <w:lang w:eastAsia="zh-CN"/>
        </w:rPr>
        <w:t>Before using the products, please refer to SDS for detailed safety data, handling and storage procedures recommended.</w:t>
      </w:r>
    </w:p>
    <w:p w14:paraId="233123B1" w14:textId="77777777" w:rsidR="00575627" w:rsidRPr="00584A24" w:rsidRDefault="00575627" w:rsidP="00604F85">
      <w:pPr>
        <w:spacing w:line="300" w:lineRule="auto"/>
        <w:rPr>
          <w:rFonts w:ascii="Arial" w:eastAsia="宋体" w:hAnsi="Arial" w:cs="Arial"/>
          <w:b/>
          <w:sz w:val="28"/>
          <w:lang w:eastAsia="zh-CN"/>
        </w:rPr>
      </w:pPr>
      <w:r w:rsidRPr="00584A24">
        <w:rPr>
          <w:rFonts w:ascii="Arial" w:eastAsia="宋体" w:hAnsi="Arial" w:cs="Arial"/>
          <w:b/>
          <w:sz w:val="28"/>
          <w:lang w:eastAsia="zh-CN"/>
        </w:rPr>
        <w:lastRenderedPageBreak/>
        <w:t>DISCLAIMER</w:t>
      </w:r>
    </w:p>
    <w:p w14:paraId="2F3307EE" w14:textId="77777777" w:rsidR="00575627" w:rsidRPr="00941437" w:rsidRDefault="00575627" w:rsidP="00604F85">
      <w:pPr>
        <w:spacing w:line="300" w:lineRule="auto"/>
        <w:jc w:val="both"/>
        <w:rPr>
          <w:rFonts w:ascii="Arial" w:eastAsia="宋体" w:hAnsi="Arial" w:cs="Arial"/>
          <w:b/>
          <w:bCs/>
          <w:szCs w:val="28"/>
          <w:lang w:eastAsia="zh-CN"/>
        </w:rPr>
      </w:pPr>
      <w:r w:rsidRPr="00584A24">
        <w:rPr>
          <w:rFonts w:ascii="Arial" w:eastAsia="宋体" w:hAnsi="Arial" w:cs="Arial"/>
          <w:sz w:val="21"/>
          <w:szCs w:val="22"/>
          <w:lang w:eastAsia="zh-CN"/>
        </w:rPr>
        <w:t>It is common proposal for product usage and demand above information based on our professional knowledge. Due to environmental uncertainty and out of our control from practical process, please test and make evaluation ahead of use to ensure efficient and safe. For your reference, the above information is only for commonly know</w:t>
      </w:r>
      <w:r w:rsidR="00941437">
        <w:rPr>
          <w:rFonts w:ascii="Arial" w:eastAsia="宋体" w:hAnsi="Arial" w:cs="Arial"/>
          <w:sz w:val="21"/>
          <w:szCs w:val="22"/>
          <w:lang w:eastAsia="zh-CN"/>
        </w:rPr>
        <w:t>n</w:t>
      </w:r>
      <w:r w:rsidRPr="00584A24">
        <w:rPr>
          <w:rFonts w:ascii="Arial" w:eastAsia="宋体" w:hAnsi="Arial" w:cs="Arial"/>
          <w:sz w:val="21"/>
          <w:szCs w:val="22"/>
          <w:lang w:eastAsia="zh-CN"/>
        </w:rPr>
        <w:t xml:space="preserve"> and use the product. It is guaranteed to meet quality and product specification.</w:t>
      </w:r>
    </w:p>
    <w:p w14:paraId="53C40C01" w14:textId="77777777" w:rsidR="00E555FC" w:rsidRPr="00941437" w:rsidRDefault="00575627" w:rsidP="00604F85">
      <w:pPr>
        <w:spacing w:line="300" w:lineRule="auto"/>
        <w:jc w:val="center"/>
        <w:rPr>
          <w:rFonts w:ascii="Arial" w:eastAsia="宋体" w:hAnsi="Arial" w:cs="Arial"/>
          <w:sz w:val="21"/>
          <w:szCs w:val="21"/>
          <w:lang w:eastAsia="zh-CN"/>
        </w:rPr>
      </w:pPr>
      <w:r w:rsidRPr="00584A24">
        <w:rPr>
          <w:rFonts w:ascii="Arial" w:eastAsia="宋体" w:hAnsi="Arial" w:cs="Arial"/>
          <w:b/>
          <w:color w:val="004646"/>
          <w:spacing w:val="-1"/>
          <w:sz w:val="21"/>
          <w:szCs w:val="21"/>
          <w:lang w:eastAsia="zh-CN"/>
        </w:rPr>
        <w:t>**</w:t>
      </w:r>
      <w:r w:rsidRPr="00584A24">
        <w:rPr>
          <w:rFonts w:ascii="Arial" w:eastAsia="宋体" w:hAnsi="Arial" w:cs="Arial"/>
          <w:b/>
          <w:color w:val="004646"/>
          <w:spacing w:val="-5"/>
          <w:sz w:val="21"/>
          <w:szCs w:val="21"/>
          <w:lang w:eastAsia="zh-CN"/>
        </w:rPr>
        <w:t>Please refer to SDS for more information</w:t>
      </w:r>
    </w:p>
    <w:sectPr w:rsidR="00E555FC" w:rsidRPr="00941437" w:rsidSect="00FF6A45">
      <w:type w:val="continuous"/>
      <w:pgSz w:w="11906" w:h="16838"/>
      <w:pgMar w:top="1440" w:right="1800" w:bottom="1440" w:left="1800" w:header="850"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BD91A" w14:textId="77777777" w:rsidR="00EF12D7" w:rsidRDefault="00EF12D7" w:rsidP="00D67962">
      <w:r>
        <w:separator/>
      </w:r>
    </w:p>
  </w:endnote>
  <w:endnote w:type="continuationSeparator" w:id="0">
    <w:p w14:paraId="6F705E0C" w14:textId="77777777" w:rsidR="00EF12D7" w:rsidRDefault="00EF12D7"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5251FC55" w14:textId="77777777" w:rsidR="00575627" w:rsidRPr="00D714A8" w:rsidRDefault="00A27827" w:rsidP="00575627">
            <w:pPr>
              <w:pStyle w:val="a7"/>
              <w:rPr>
                <w:rFonts w:eastAsiaTheme="minorEastAsia"/>
                <w:lang w:eastAsia="zh-CN"/>
              </w:rPr>
            </w:pPr>
            <w:r>
              <w:rPr>
                <w:noProof/>
                <w:lang w:eastAsia="zh-CN"/>
              </w:rPr>
              <mc:AlternateContent>
                <mc:Choice Requires="wps">
                  <w:drawing>
                    <wp:anchor distT="0" distB="0" distL="114300" distR="114300" simplePos="0" relativeHeight="251666432" behindDoc="0" locked="0" layoutInCell="1" allowOverlap="1" wp14:anchorId="37B5D542" wp14:editId="55C30976">
                      <wp:simplePos x="0" y="0"/>
                      <wp:positionH relativeFrom="column">
                        <wp:posOffset>-31115</wp:posOffset>
                      </wp:positionH>
                      <wp:positionV relativeFrom="paragraph">
                        <wp:posOffset>-86995</wp:posOffset>
                      </wp:positionV>
                      <wp:extent cx="5347335" cy="0"/>
                      <wp:effectExtent l="6985" t="8255" r="8255" b="1079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A704B5" id="_x0000_t32" coordsize="21600,21600" o:spt="32" o:oned="t" path="m,l21600,21600e" filled="f">
                      <v:path arrowok="t" fillok="f" o:connecttype="none"/>
                      <o:lock v:ext="edit" shapetype="t"/>
                    </v:shapetype>
                    <v:shape id="AutoShape 7" o:spid="_x0000_s1026" type="#_x0000_t32" style="position:absolute;left:0;text-align:left;margin-left:-2.45pt;margin-top:-6.85pt;width:421.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"/>
                  </w:pict>
                </mc:Fallback>
              </mc:AlternateContent>
            </w:r>
            <w:r w:rsidR="00575627">
              <w:rPr>
                <w:rFonts w:eastAsiaTheme="minorEastAsia" w:hint="eastAsia"/>
                <w:lang w:eastAsia="zh-CN"/>
              </w:rPr>
              <w:t xml:space="preserve">No 3399 </w:t>
            </w:r>
            <w:r w:rsidR="00AF7DAE">
              <w:rPr>
                <w:rFonts w:eastAsiaTheme="minorEastAsia" w:hint="eastAsia"/>
                <w:lang w:eastAsia="zh-CN"/>
              </w:rPr>
              <w:t>Kang-Xin Highway, Building 17</w:t>
            </w:r>
            <w:r w:rsidR="00575627">
              <w:rPr>
                <w:rFonts w:eastAsiaTheme="minorEastAsia" w:hint="eastAsia"/>
                <w:lang w:eastAsia="zh-CN"/>
              </w:rPr>
              <w:t>. Pu-Dong District, Shanghai</w:t>
            </w:r>
          </w:p>
          <w:p w14:paraId="2E4A3A79" w14:textId="77777777" w:rsidR="00640E62" w:rsidRPr="00640E62" w:rsidRDefault="00575627" w:rsidP="00575627">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ab/>
              <w:t xml:space="preserve">  </w:t>
            </w:r>
            <w:r w:rsidR="008F309B">
              <w:rPr>
                <w:rFonts w:eastAsiaTheme="minorEastAsia" w:hint="eastAsia"/>
                <w:lang w:eastAsia="zh-CN"/>
              </w:rPr>
              <w:t xml:space="preserve">                             </w:t>
            </w:r>
            <w:r>
              <w:rPr>
                <w:rFonts w:eastAsiaTheme="minorEastAsia" w:hint="eastAsia"/>
                <w:lang w:eastAsia="zh-CN"/>
              </w:rPr>
              <w:t xml:space="preserve">                              </w:t>
            </w:r>
            <w:r w:rsidR="008F309B">
              <w:rPr>
                <w:rFonts w:eastAsiaTheme="minorEastAsia" w:hint="eastAsia"/>
                <w:lang w:eastAsia="zh-CN"/>
              </w:rPr>
              <w:t xml:space="preserve"> </w:t>
            </w:r>
            <w:r w:rsidR="00FD733D">
              <w:rPr>
                <w:b/>
                <w:sz w:val="24"/>
                <w:szCs w:val="24"/>
              </w:rPr>
              <w:fldChar w:fldCharType="begin"/>
            </w:r>
            <w:r w:rsidR="00640E62">
              <w:rPr>
                <w:b/>
              </w:rPr>
              <w:instrText>PAGE</w:instrText>
            </w:r>
            <w:r w:rsidR="00FD733D">
              <w:rPr>
                <w:b/>
                <w:sz w:val="24"/>
                <w:szCs w:val="24"/>
              </w:rPr>
              <w:fldChar w:fldCharType="separate"/>
            </w:r>
            <w:r w:rsidR="007674B0">
              <w:rPr>
                <w:b/>
                <w:noProof/>
              </w:rPr>
              <w:t>1</w:t>
            </w:r>
            <w:r w:rsidR="00FD733D">
              <w:rPr>
                <w:b/>
                <w:sz w:val="24"/>
                <w:szCs w:val="24"/>
              </w:rPr>
              <w:fldChar w:fldCharType="end"/>
            </w:r>
            <w:r w:rsidR="00640E62" w:rsidRPr="00640E62">
              <w:t xml:space="preserve"> / </w:t>
            </w:r>
            <w:r w:rsidR="00FD733D">
              <w:rPr>
                <w:b/>
                <w:sz w:val="24"/>
                <w:szCs w:val="24"/>
              </w:rPr>
              <w:fldChar w:fldCharType="begin"/>
            </w:r>
            <w:r w:rsidR="00640E62">
              <w:rPr>
                <w:b/>
              </w:rPr>
              <w:instrText>NUMPAGES</w:instrText>
            </w:r>
            <w:r w:rsidR="00FD733D">
              <w:rPr>
                <w:b/>
                <w:sz w:val="24"/>
                <w:szCs w:val="24"/>
              </w:rPr>
              <w:fldChar w:fldCharType="separate"/>
            </w:r>
            <w:r w:rsidR="007674B0">
              <w:rPr>
                <w:b/>
                <w:noProof/>
              </w:rPr>
              <w:t>2</w:t>
            </w:r>
            <w:r w:rsidR="00FD733D">
              <w:rPr>
                <w:b/>
                <w:sz w:val="24"/>
                <w:szCs w:val="24"/>
              </w:rPr>
              <w:fldChar w:fldCharType="end"/>
            </w:r>
          </w:p>
        </w:sdtContent>
      </w:sdt>
    </w:sdtContent>
  </w:sdt>
  <w:p w14:paraId="70B1F584" w14:textId="77777777" w:rsidR="00640E62" w:rsidRPr="00640E62" w:rsidRDefault="00640E62">
    <w:pPr>
      <w:pStyle w:val="a7"/>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FF5C2" w14:textId="77777777" w:rsidR="00EF12D7" w:rsidRDefault="00EF12D7" w:rsidP="00D67962">
      <w:r>
        <w:separator/>
      </w:r>
    </w:p>
  </w:footnote>
  <w:footnote w:type="continuationSeparator" w:id="0">
    <w:p w14:paraId="2B150B2F" w14:textId="77777777" w:rsidR="00EF12D7" w:rsidRDefault="00EF12D7"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85C4D" w14:textId="77777777" w:rsidR="007F381B" w:rsidRPr="00AF7DAE" w:rsidRDefault="007674B0" w:rsidP="007674B0">
    <w:pPr>
      <w:pStyle w:val="a5"/>
      <w:pBdr>
        <w:bottom w:val="single" w:sz="6" w:space="2" w:color="auto"/>
      </w:pBdr>
      <w:jc w:val="left"/>
      <w:rPr>
        <w:rFonts w:eastAsiaTheme="minorEastAsia"/>
        <w:lang w:eastAsia="zh-CN"/>
      </w:rPr>
    </w:pPr>
    <w:r w:rsidRPr="007674B0">
      <w:rPr>
        <w:rFonts w:eastAsiaTheme="minorEastAsia"/>
        <w:noProof/>
        <w:lang w:eastAsia="zh-CN"/>
      </w:rPr>
      <w:drawing>
        <wp:inline distT="0" distB="0" distL="0" distR="0" wp14:anchorId="67031EB4" wp14:editId="7DBDC66A">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A27827">
      <w:rPr>
        <w:noProof/>
        <w:lang w:eastAsia="zh-CN"/>
      </w:rPr>
      <mc:AlternateContent>
        <mc:Choice Requires="wps">
          <w:drawing>
            <wp:anchor distT="0" distB="0" distL="114300" distR="114300" simplePos="0" relativeHeight="251662336" behindDoc="0" locked="0" layoutInCell="1" allowOverlap="1" wp14:anchorId="7471C757" wp14:editId="4BF9581B">
              <wp:simplePos x="0" y="0"/>
              <wp:positionH relativeFrom="column">
                <wp:posOffset>1290955</wp:posOffset>
              </wp:positionH>
              <wp:positionV relativeFrom="paragraph">
                <wp:posOffset>317500</wp:posOffset>
              </wp:positionV>
              <wp:extent cx="3481070" cy="247650"/>
              <wp:effectExtent l="0" t="0" r="508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247650"/>
                      </a:xfrm>
                      <a:prstGeom prst="rect">
                        <a:avLst/>
                      </a:prstGeom>
                      <a:solidFill>
                        <a:srgbClr val="FFFFFF"/>
                      </a:solidFill>
                      <a:ln w="9525">
                        <a:solidFill>
                          <a:schemeClr val="bg1">
                            <a:lumMod val="100000"/>
                            <a:lumOff val="0"/>
                          </a:schemeClr>
                        </a:solidFill>
                        <a:miter lim="800000"/>
                        <a:headEnd/>
                        <a:tailEnd/>
                      </a:ln>
                    </wps:spPr>
                    <wps:txbx>
                      <w:txbxContent>
                        <w:p w14:paraId="364ECE75" w14:textId="77777777" w:rsidR="00B6759F" w:rsidRDefault="00B6759F" w:rsidP="00B6759F">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1.65pt;margin-top:25pt;width:274.1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" strokecolor="white [3212]">
              <v:textbox>
                <w:txbxContent>
                  <w:p w:rsidR="00B6759F" w:rsidRDefault="00B6759F" w:rsidP="00B6759F">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942906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31D12"/>
    <w:rsid w:val="000542EA"/>
    <w:rsid w:val="00083538"/>
    <w:rsid w:val="000A0B98"/>
    <w:rsid w:val="000B205B"/>
    <w:rsid w:val="000B311D"/>
    <w:rsid w:val="000E0727"/>
    <w:rsid w:val="000E2A44"/>
    <w:rsid w:val="000E6396"/>
    <w:rsid w:val="000F3090"/>
    <w:rsid w:val="00122A34"/>
    <w:rsid w:val="00124276"/>
    <w:rsid w:val="00137800"/>
    <w:rsid w:val="00144B2E"/>
    <w:rsid w:val="001532CB"/>
    <w:rsid w:val="00167894"/>
    <w:rsid w:val="00194FB1"/>
    <w:rsid w:val="00195220"/>
    <w:rsid w:val="001C7285"/>
    <w:rsid w:val="001D45EB"/>
    <w:rsid w:val="001F52DB"/>
    <w:rsid w:val="002026E5"/>
    <w:rsid w:val="0022430A"/>
    <w:rsid w:val="0025574F"/>
    <w:rsid w:val="0027540B"/>
    <w:rsid w:val="002D078D"/>
    <w:rsid w:val="002D72EB"/>
    <w:rsid w:val="00317730"/>
    <w:rsid w:val="0036648A"/>
    <w:rsid w:val="0037766C"/>
    <w:rsid w:val="00394FB1"/>
    <w:rsid w:val="003A2886"/>
    <w:rsid w:val="003C2153"/>
    <w:rsid w:val="003E70B7"/>
    <w:rsid w:val="0040255A"/>
    <w:rsid w:val="00412FAE"/>
    <w:rsid w:val="004163F8"/>
    <w:rsid w:val="00452982"/>
    <w:rsid w:val="004847AE"/>
    <w:rsid w:val="004A7EBF"/>
    <w:rsid w:val="004F41B3"/>
    <w:rsid w:val="0050017B"/>
    <w:rsid w:val="0051218B"/>
    <w:rsid w:val="005130C6"/>
    <w:rsid w:val="00575627"/>
    <w:rsid w:val="00585C6F"/>
    <w:rsid w:val="00590A5F"/>
    <w:rsid w:val="005B0DA0"/>
    <w:rsid w:val="005E0762"/>
    <w:rsid w:val="00604F85"/>
    <w:rsid w:val="00610704"/>
    <w:rsid w:val="006258B3"/>
    <w:rsid w:val="006320DD"/>
    <w:rsid w:val="00640E62"/>
    <w:rsid w:val="00652E21"/>
    <w:rsid w:val="006637FD"/>
    <w:rsid w:val="00670CA5"/>
    <w:rsid w:val="00674EB4"/>
    <w:rsid w:val="006A4641"/>
    <w:rsid w:val="006B2779"/>
    <w:rsid w:val="006C4E3E"/>
    <w:rsid w:val="006C78EF"/>
    <w:rsid w:val="006D720C"/>
    <w:rsid w:val="007674B0"/>
    <w:rsid w:val="00783D4A"/>
    <w:rsid w:val="007F381B"/>
    <w:rsid w:val="007F394B"/>
    <w:rsid w:val="00812633"/>
    <w:rsid w:val="00812A9D"/>
    <w:rsid w:val="0081434B"/>
    <w:rsid w:val="00815742"/>
    <w:rsid w:val="00824D73"/>
    <w:rsid w:val="0084071A"/>
    <w:rsid w:val="008463E7"/>
    <w:rsid w:val="0085223E"/>
    <w:rsid w:val="00871B3C"/>
    <w:rsid w:val="008910D9"/>
    <w:rsid w:val="008A6F3E"/>
    <w:rsid w:val="008E6F67"/>
    <w:rsid w:val="008F309B"/>
    <w:rsid w:val="0090466B"/>
    <w:rsid w:val="00917E90"/>
    <w:rsid w:val="0092000A"/>
    <w:rsid w:val="00920B01"/>
    <w:rsid w:val="00941437"/>
    <w:rsid w:val="009B1B17"/>
    <w:rsid w:val="009D1DF0"/>
    <w:rsid w:val="009D4350"/>
    <w:rsid w:val="00A27827"/>
    <w:rsid w:val="00A34278"/>
    <w:rsid w:val="00A446B7"/>
    <w:rsid w:val="00A45A6B"/>
    <w:rsid w:val="00A47722"/>
    <w:rsid w:val="00A86427"/>
    <w:rsid w:val="00A94551"/>
    <w:rsid w:val="00AC1014"/>
    <w:rsid w:val="00AC43E9"/>
    <w:rsid w:val="00AD2E25"/>
    <w:rsid w:val="00AE0AE6"/>
    <w:rsid w:val="00AE2526"/>
    <w:rsid w:val="00AF1325"/>
    <w:rsid w:val="00AF7DAE"/>
    <w:rsid w:val="00B2728A"/>
    <w:rsid w:val="00B61FF8"/>
    <w:rsid w:val="00B6759F"/>
    <w:rsid w:val="00B933F8"/>
    <w:rsid w:val="00BA0C54"/>
    <w:rsid w:val="00BA23FA"/>
    <w:rsid w:val="00BA459D"/>
    <w:rsid w:val="00BA6660"/>
    <w:rsid w:val="00BC0650"/>
    <w:rsid w:val="00BC6CF3"/>
    <w:rsid w:val="00BD150F"/>
    <w:rsid w:val="00BD72D1"/>
    <w:rsid w:val="00C013E9"/>
    <w:rsid w:val="00C47131"/>
    <w:rsid w:val="00C6600F"/>
    <w:rsid w:val="00C74960"/>
    <w:rsid w:val="00C81967"/>
    <w:rsid w:val="00C824DC"/>
    <w:rsid w:val="00C855E2"/>
    <w:rsid w:val="00CA4132"/>
    <w:rsid w:val="00CB497A"/>
    <w:rsid w:val="00CC7A47"/>
    <w:rsid w:val="00CF6D73"/>
    <w:rsid w:val="00D174A4"/>
    <w:rsid w:val="00D67962"/>
    <w:rsid w:val="00D76F73"/>
    <w:rsid w:val="00D9395C"/>
    <w:rsid w:val="00D975EF"/>
    <w:rsid w:val="00DA61C9"/>
    <w:rsid w:val="00DA6AD5"/>
    <w:rsid w:val="00DA6B1E"/>
    <w:rsid w:val="00DC0272"/>
    <w:rsid w:val="00DC3B56"/>
    <w:rsid w:val="00E4007B"/>
    <w:rsid w:val="00E555FC"/>
    <w:rsid w:val="00E635C1"/>
    <w:rsid w:val="00E665DC"/>
    <w:rsid w:val="00E85AF0"/>
    <w:rsid w:val="00E926E0"/>
    <w:rsid w:val="00E926E6"/>
    <w:rsid w:val="00EC0629"/>
    <w:rsid w:val="00EF12D7"/>
    <w:rsid w:val="00F32BAB"/>
    <w:rsid w:val="00F5507D"/>
    <w:rsid w:val="00F6145B"/>
    <w:rsid w:val="00F64660"/>
    <w:rsid w:val="00F839D1"/>
    <w:rsid w:val="00F965C6"/>
    <w:rsid w:val="00F96D3D"/>
    <w:rsid w:val="00FB068B"/>
    <w:rsid w:val="00FD733D"/>
    <w:rsid w:val="00FE6D15"/>
    <w:rsid w:val="00FF6A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67C4E"/>
  <w15:docId w15:val="{627B900B-C277-4576-BF4B-A5B0C6B1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894411">
      <w:bodyDiv w:val="1"/>
      <w:marLeft w:val="0"/>
      <w:marRight w:val="0"/>
      <w:marTop w:val="0"/>
      <w:marBottom w:val="0"/>
      <w:divBdr>
        <w:top w:val="none" w:sz="0" w:space="0" w:color="auto"/>
        <w:left w:val="none" w:sz="0" w:space="0" w:color="auto"/>
        <w:bottom w:val="none" w:sz="0" w:space="0" w:color="auto"/>
        <w:right w:val="none" w:sz="0" w:space="0" w:color="auto"/>
      </w:divBdr>
    </w:div>
    <w:div w:id="9860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1988</Characters>
  <Application>Microsoft Office Word</Application>
  <DocSecurity>0</DocSecurity>
  <Lines>16</Lines>
  <Paragraphs>4</Paragraphs>
  <ScaleCrop>false</ScaleCrop>
  <Company>Microsoft</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junrong xia</dc:creator>
  <cp:lastModifiedBy>珂 张</cp:lastModifiedBy>
  <cp:revision>2</cp:revision>
  <cp:lastPrinted>2018-07-23T05:54:00Z</cp:lastPrinted>
  <dcterms:created xsi:type="dcterms:W3CDTF">2024-11-26T06:12:00Z</dcterms:created>
  <dcterms:modified xsi:type="dcterms:W3CDTF">2024-11-26T06:12:00Z</dcterms:modified>
</cp:coreProperties>
</file>