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506D866F"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F029E4">
        <w:rPr>
          <w:rFonts w:ascii="Arial" w:eastAsiaTheme="majorEastAsia" w:hAnsi="Arial" w:cs="Arial"/>
          <w:b/>
          <w:sz w:val="30"/>
          <w:szCs w:val="30"/>
          <w:lang w:eastAsia="zh-CN"/>
        </w:rPr>
        <w:t>D-6255</w:t>
      </w:r>
    </w:p>
    <w:p w14:paraId="6097FFB3" w14:textId="6771CCB4"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7B08D539"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F029E4" w:rsidRPr="00F029E4">
        <w:rPr>
          <w:rFonts w:ascii="Arial" w:eastAsiaTheme="majorEastAsia" w:hAnsi="Arial" w:cs="Arial"/>
          <w:b/>
          <w:sz w:val="21"/>
          <w:szCs w:val="21"/>
          <w:lang w:eastAsia="zh-CN"/>
        </w:rPr>
        <w:t>D-6255</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a</w:t>
      </w:r>
      <w:r w:rsidR="00F029E4">
        <w:rPr>
          <w:rFonts w:ascii="Arial" w:eastAsiaTheme="majorEastAsia" w:hAnsi="Arial" w:cs="Arial"/>
          <w:sz w:val="21"/>
          <w:szCs w:val="21"/>
          <w:lang w:eastAsia="zh-CN"/>
        </w:rPr>
        <w:t xml:space="preserve"> polyester </w:t>
      </w:r>
      <w:proofErr w:type="spellStart"/>
      <w:r w:rsidR="00F029E4">
        <w:rPr>
          <w:rFonts w:ascii="Arial" w:eastAsiaTheme="majorEastAsia" w:hAnsi="Arial" w:cs="Arial"/>
          <w:sz w:val="21"/>
          <w:szCs w:val="21"/>
          <w:lang w:eastAsia="zh-CN"/>
        </w:rPr>
        <w:t>polyalkylene</w:t>
      </w:r>
      <w:proofErr w:type="spellEnd"/>
      <w:r w:rsidR="00F029E4">
        <w:rPr>
          <w:rFonts w:ascii="Arial" w:eastAsiaTheme="majorEastAsia" w:hAnsi="Arial" w:cs="Arial"/>
          <w:sz w:val="21"/>
          <w:szCs w:val="21"/>
          <w:lang w:eastAsia="zh-CN"/>
        </w:rPr>
        <w:t xml:space="preserve"> imine</w:t>
      </w:r>
      <w:r w:rsidR="00845009">
        <w:rPr>
          <w:rFonts w:ascii="Arial" w:eastAsiaTheme="majorEastAsia" w:hAnsi="Arial" w:cs="Arial"/>
          <w:sz w:val="21"/>
          <w:szCs w:val="21"/>
          <w:lang w:eastAsia="zh-CN"/>
        </w:rPr>
        <w:t xml:space="preserve"> modified polyurethane</w:t>
      </w:r>
      <w:r w:rsidR="00F029E4">
        <w:rPr>
          <w:rFonts w:ascii="Arial" w:eastAsiaTheme="majorEastAsia" w:hAnsi="Arial" w:cs="Arial"/>
          <w:sz w:val="21"/>
          <w:szCs w:val="21"/>
          <w:lang w:eastAsia="zh-CN"/>
        </w:rPr>
        <w:t>. The product is suitable for solvent-borne and solvent free floor coating and coating systems.</w:t>
      </w:r>
      <w:r w:rsidR="00B71189">
        <w:rPr>
          <w:rFonts w:ascii="Arial" w:eastAsiaTheme="majorEastAsia" w:hAnsi="Arial" w:cs="Arial"/>
          <w:sz w:val="21"/>
          <w:szCs w:val="21"/>
          <w:lang w:eastAsia="zh-CN"/>
        </w:rPr>
        <w:t xml:space="preserve"> The product is VOC free, have good compatibility, especially effective for dispersing pigment concentrates. The product is also solvent free and 100% active content, making it suitable for high-solid content system.</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4F06761C" w:rsidR="000542EA" w:rsidRPr="00402E07" w:rsidRDefault="002E52D0" w:rsidP="00045AA7">
            <w:pPr>
              <w:rPr>
                <w:rFonts w:ascii="Arial" w:eastAsiaTheme="majorEastAsia" w:cs="Arial"/>
                <w:sz w:val="21"/>
                <w:szCs w:val="21"/>
                <w:lang w:eastAsia="zh-CN"/>
              </w:rPr>
            </w:pPr>
            <w:r>
              <w:rPr>
                <w:rFonts w:ascii="Arial" w:eastAsiaTheme="majorEastAsia" w:cs="Arial"/>
                <w:sz w:val="21"/>
                <w:szCs w:val="21"/>
                <w:lang w:eastAsia="zh-CN"/>
              </w:rPr>
              <w:t>Light yellow visco</w:t>
            </w:r>
            <w:r w:rsidR="00402E07">
              <w:rPr>
                <w:rFonts w:ascii="Arial" w:eastAsiaTheme="majorEastAsia" w:cs="Arial"/>
                <w:sz w:val="21"/>
                <w:szCs w:val="21"/>
                <w:lang w:eastAsia="zh-CN"/>
              </w:rPr>
              <w:t>us</w:t>
            </w:r>
            <w:r>
              <w:rPr>
                <w:rFonts w:ascii="Arial" w:eastAsiaTheme="majorEastAsia" w:cs="Arial"/>
                <w:sz w:val="21"/>
                <w:szCs w:val="21"/>
                <w:lang w:eastAsia="zh-CN"/>
              </w:rPr>
              <w:t xml:space="preserve">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5EF928C6" w:rsidR="00C40813" w:rsidRPr="00282962" w:rsidRDefault="00F029E4" w:rsidP="00045AA7">
            <w:pPr>
              <w:rPr>
                <w:rFonts w:ascii="Arial" w:eastAsiaTheme="majorEastAsia" w:hAnsi="Arial" w:cs="Arial"/>
                <w:sz w:val="21"/>
                <w:szCs w:val="21"/>
                <w:lang w:eastAsia="zh-CN"/>
              </w:rPr>
            </w:pPr>
            <w:r w:rsidRPr="0092527C">
              <w:rPr>
                <w:rFonts w:ascii="Arial" w:eastAsiaTheme="majorEastAsia" w:hAnsi="Arial" w:cs="Arial"/>
                <w:sz w:val="21"/>
                <w:szCs w:val="21"/>
                <w:lang w:eastAsia="zh-CN"/>
              </w:rPr>
              <w:t>1.0</w:t>
            </w:r>
            <w:r w:rsidR="0092527C" w:rsidRPr="0092527C">
              <w:rPr>
                <w:rFonts w:ascii="Arial" w:eastAsiaTheme="majorEastAsia" w:hAnsi="Arial" w:cs="Arial"/>
                <w:sz w:val="21"/>
                <w:szCs w:val="21"/>
                <w:lang w:eastAsia="zh-CN"/>
              </w:rPr>
              <w:t>5</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248A4FD7" w:rsidR="00C40813" w:rsidRPr="00282962" w:rsidRDefault="00F029E4" w:rsidP="00045AA7">
            <w:pPr>
              <w:rPr>
                <w:rFonts w:ascii="Arial" w:eastAsiaTheme="majorEastAsia" w:hAnsi="Arial" w:cs="Arial"/>
                <w:sz w:val="21"/>
                <w:szCs w:val="21"/>
                <w:lang w:eastAsia="zh-CN"/>
              </w:rPr>
            </w:pPr>
            <w:r>
              <w:rPr>
                <w:rFonts w:ascii="Arial" w:eastAsiaTheme="majorEastAsia" w:hAnsi="Arial" w:cs="Arial"/>
                <w:sz w:val="21"/>
                <w:szCs w:val="21"/>
                <w:lang w:eastAsia="zh-CN"/>
              </w:rPr>
              <w:t>100</w:t>
            </w:r>
          </w:p>
        </w:tc>
      </w:tr>
      <w:tr w:rsidR="003B0498" w:rsidRPr="00045AA7" w14:paraId="02BC0412" w14:textId="77777777" w:rsidTr="004E40B8">
        <w:trPr>
          <w:jc w:val="center"/>
        </w:trPr>
        <w:tc>
          <w:tcPr>
            <w:tcW w:w="4106" w:type="dxa"/>
          </w:tcPr>
          <w:p w14:paraId="7D7BD218" w14:textId="2929AAF7" w:rsidR="003B0498" w:rsidRDefault="00610FDF"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1F04535C" w:rsidR="003B0498" w:rsidRDefault="00F029E4" w:rsidP="00045AA7">
            <w:pPr>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06670F00"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F029E4" w:rsidRPr="00F029E4">
        <w:rPr>
          <w:rFonts w:ascii="Arial" w:eastAsiaTheme="majorEastAsia" w:hAnsi="Arial" w:cs="Arial"/>
          <w:b/>
          <w:sz w:val="21"/>
          <w:szCs w:val="21"/>
          <w:lang w:eastAsia="zh-CN"/>
        </w:rPr>
        <w:t>D-6255</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7B3FB5">
        <w:rPr>
          <w:rFonts w:ascii="Arial" w:eastAsiaTheme="majorEastAsia" w:hAnsi="Arial" w:cs="Arial"/>
          <w:bCs/>
          <w:sz w:val="21"/>
          <w:szCs w:val="21"/>
          <w:lang w:eastAsia="zh-CN"/>
        </w:rPr>
        <w:t xml:space="preserve">industrial coating, </w:t>
      </w:r>
      <w:r w:rsidR="00B71189">
        <w:rPr>
          <w:rFonts w:ascii="Arial" w:eastAsiaTheme="majorEastAsia" w:hAnsi="Arial" w:cs="Arial"/>
          <w:bCs/>
          <w:sz w:val="21"/>
          <w:szCs w:val="21"/>
          <w:lang w:eastAsia="zh-CN"/>
        </w:rPr>
        <w:t xml:space="preserve">wood coating and automotive coatings. The product can also be used in architectural coating. It is effective via steric hindrance, which deflocculates and stabilizes pigments. </w:t>
      </w:r>
      <w:r w:rsidR="00845009">
        <w:rPr>
          <w:rFonts w:ascii="Arial" w:eastAsiaTheme="majorEastAsia" w:hAnsi="Arial" w:cs="Arial"/>
          <w:bCs/>
          <w:sz w:val="21"/>
          <w:szCs w:val="21"/>
          <w:lang w:eastAsia="zh-CN"/>
        </w:rPr>
        <w:t xml:space="preserve">Good </w:t>
      </w:r>
      <w:r w:rsidR="00B71189">
        <w:rPr>
          <w:rFonts w:ascii="Arial" w:eastAsiaTheme="majorEastAsia" w:hAnsi="Arial" w:cs="Arial"/>
          <w:bCs/>
          <w:sz w:val="21"/>
          <w:szCs w:val="21"/>
          <w:lang w:eastAsia="zh-CN"/>
        </w:rPr>
        <w:t>the color strength, transparency, hiding power and gloss can be improved, with lowered viscosity in grind down stage.</w:t>
      </w:r>
    </w:p>
    <w:p w14:paraId="7C2E751A" w14:textId="77777777" w:rsidR="002D21C9"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02FE4BF1" w:rsidR="002D21C9" w:rsidRDefault="00B71189"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Organic pigments</w:t>
      </w:r>
      <w:r w:rsidR="004249BC">
        <w:rPr>
          <w:rFonts w:ascii="Arial" w:eastAsiaTheme="majorEastAsia" w:hAnsi="Arial" w:cs="Arial"/>
          <w:bCs/>
          <w:sz w:val="21"/>
          <w:szCs w:val="21"/>
          <w:lang w:eastAsia="zh-CN"/>
        </w:rPr>
        <w:t>:</w:t>
      </w:r>
      <w:r w:rsidR="002D21C9">
        <w:rPr>
          <w:rFonts w:ascii="Arial" w:eastAsiaTheme="majorEastAsia" w:hAnsi="Arial" w:cs="Arial"/>
          <w:bCs/>
          <w:sz w:val="21"/>
          <w:szCs w:val="21"/>
          <w:lang w:eastAsia="zh-CN"/>
        </w:rPr>
        <w:t xml:space="preserve"> </w:t>
      </w:r>
      <w:r>
        <w:rPr>
          <w:rFonts w:ascii="Arial" w:eastAsiaTheme="majorEastAsia" w:hAnsi="Arial" w:cs="Arial"/>
          <w:bCs/>
          <w:sz w:val="21"/>
          <w:szCs w:val="21"/>
          <w:lang w:eastAsia="zh-CN"/>
        </w:rPr>
        <w:t>10</w:t>
      </w:r>
      <w:r w:rsidR="00A60D7B">
        <w:rPr>
          <w:rFonts w:ascii="Arial" w:eastAsiaTheme="majorEastAsia" w:hAnsi="Arial" w:cs="Arial"/>
          <w:bCs/>
          <w:sz w:val="21"/>
          <w:szCs w:val="21"/>
          <w:lang w:eastAsia="zh-CN"/>
        </w:rPr>
        <w:t xml:space="preserve"> </w:t>
      </w:r>
      <w:r>
        <w:rPr>
          <w:rFonts w:ascii="Arial" w:eastAsiaTheme="majorEastAsia" w:hAnsi="Arial" w:cs="Arial"/>
          <w:bCs/>
          <w:sz w:val="21"/>
          <w:szCs w:val="21"/>
          <w:lang w:eastAsia="zh-CN"/>
        </w:rPr>
        <w:t>-</w:t>
      </w:r>
      <w:r w:rsidR="00A60D7B">
        <w:rPr>
          <w:rFonts w:ascii="Arial" w:eastAsiaTheme="majorEastAsia" w:hAnsi="Arial" w:cs="Arial"/>
          <w:bCs/>
          <w:sz w:val="21"/>
          <w:szCs w:val="21"/>
          <w:lang w:eastAsia="zh-CN"/>
        </w:rPr>
        <w:t xml:space="preserve"> </w:t>
      </w:r>
      <w:r>
        <w:rPr>
          <w:rFonts w:ascii="Arial" w:eastAsiaTheme="majorEastAsia" w:hAnsi="Arial" w:cs="Arial"/>
          <w:bCs/>
          <w:sz w:val="21"/>
          <w:szCs w:val="21"/>
          <w:lang w:eastAsia="zh-CN"/>
        </w:rPr>
        <w:t>35</w:t>
      </w:r>
      <w:r w:rsidR="00F25148">
        <w:rPr>
          <w:rFonts w:ascii="Arial" w:eastAsiaTheme="majorEastAsia" w:hAnsi="Arial" w:cs="Arial"/>
          <w:sz w:val="21"/>
          <w:szCs w:val="21"/>
          <w:lang w:eastAsia="zh-CN"/>
        </w:rPr>
        <w:t>%</w:t>
      </w:r>
    </w:p>
    <w:p w14:paraId="08414BA9" w14:textId="6B58FAD2"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B71189">
        <w:rPr>
          <w:rFonts w:ascii="Arial" w:eastAsiaTheme="majorEastAsia" w:hAnsi="Arial" w:cs="Arial"/>
          <w:sz w:val="21"/>
          <w:szCs w:val="21"/>
          <w:lang w:eastAsia="zh-CN"/>
        </w:rPr>
        <w:t>5</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sidR="00B71189">
        <w:rPr>
          <w:rFonts w:ascii="Arial" w:eastAsiaTheme="majorEastAsia" w:hAnsi="Arial" w:cs="Arial"/>
          <w:sz w:val="21"/>
          <w:szCs w:val="21"/>
          <w:lang w:eastAsia="zh-CN"/>
        </w:rPr>
        <w:t>10</w:t>
      </w:r>
      <w:r>
        <w:rPr>
          <w:rFonts w:ascii="Arial" w:eastAsiaTheme="majorEastAsia" w:hAnsi="Arial" w:cs="Arial"/>
          <w:sz w:val="21"/>
          <w:szCs w:val="21"/>
          <w:lang w:eastAsia="zh-CN"/>
        </w:rPr>
        <w:t>%</w:t>
      </w:r>
    </w:p>
    <w:p w14:paraId="4F9B397B" w14:textId="2D28795C" w:rsidR="00A60D7B" w:rsidRDefault="00A60D7B"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T</w:t>
      </w:r>
      <w:r>
        <w:rPr>
          <w:rFonts w:ascii="Arial" w:eastAsiaTheme="majorEastAsia" w:hAnsi="Arial" w:cs="Arial"/>
          <w:sz w:val="21"/>
          <w:szCs w:val="21"/>
          <w:lang w:eastAsia="zh-CN"/>
        </w:rPr>
        <w:t>itanium dioxides:1 - 3%</w:t>
      </w:r>
    </w:p>
    <w:p w14:paraId="57B3ED3F" w14:textId="319A82C1" w:rsidR="006144C9" w:rsidRDefault="00A60D7B"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w:t>
      </w:r>
      <w:r w:rsidR="006144C9">
        <w:rPr>
          <w:rFonts w:ascii="Arial" w:eastAsiaTheme="majorEastAsia" w:hAnsi="Arial" w:cs="Arial"/>
          <w:sz w:val="21"/>
          <w:szCs w:val="21"/>
          <w:lang w:eastAsia="zh-CN"/>
        </w:rPr>
        <w:t xml:space="preserve">: </w:t>
      </w:r>
      <w:r>
        <w:rPr>
          <w:rFonts w:ascii="Arial" w:eastAsiaTheme="majorEastAsia" w:hAnsi="Arial" w:cs="Arial"/>
          <w:sz w:val="21"/>
          <w:szCs w:val="21"/>
          <w:lang w:eastAsia="zh-CN"/>
        </w:rPr>
        <w:t>15</w:t>
      </w:r>
      <w:r w:rsidR="007A491B">
        <w:rPr>
          <w:rFonts w:ascii="Arial" w:eastAsiaTheme="majorEastAsia" w:hAnsi="Arial" w:cs="Arial"/>
          <w:sz w:val="21"/>
          <w:szCs w:val="21"/>
          <w:lang w:eastAsia="zh-CN"/>
        </w:rPr>
        <w:t xml:space="preserve"> </w:t>
      </w:r>
      <w:r w:rsidR="006144C9">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75</w:t>
      </w:r>
      <w:r w:rsidR="006144C9">
        <w:rPr>
          <w:rFonts w:ascii="Arial" w:eastAsiaTheme="majorEastAsia" w:hAnsi="Arial" w:cs="Arial"/>
          <w:sz w:val="21"/>
          <w:szCs w:val="21"/>
          <w:lang w:eastAsia="zh-CN"/>
        </w:rPr>
        <w:t>%</w:t>
      </w:r>
    </w:p>
    <w:p w14:paraId="13317990" w14:textId="3AB732B1" w:rsidR="00F25148"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212072EA" w14:textId="77777777" w:rsidR="00845009" w:rsidRPr="004B7D22" w:rsidRDefault="00845009" w:rsidP="00F750DC">
      <w:pPr>
        <w:spacing w:line="312" w:lineRule="auto"/>
        <w:jc w:val="both"/>
        <w:rPr>
          <w:rFonts w:ascii="Arial" w:eastAsiaTheme="majorEastAsia" w:hAnsi="Arial" w:cs="Arial"/>
          <w:sz w:val="21"/>
          <w:szCs w:val="21"/>
          <w:lang w:eastAsia="zh-CN"/>
        </w:rPr>
      </w:pP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0D7" w:rsid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19F55D09" w14:textId="77777777" w:rsidR="00845009" w:rsidRPr="004E40B8" w:rsidRDefault="00845009" w:rsidP="004E40B8">
      <w:pPr>
        <w:spacing w:line="312" w:lineRule="auto"/>
        <w:rPr>
          <w:rFonts w:ascii="Arial" w:eastAsiaTheme="minorEastAsia" w:hAnsi="Arial" w:cs="Arial"/>
          <w:sz w:val="21"/>
          <w:szCs w:val="22"/>
          <w:lang w:eastAsia="zh-CN"/>
        </w:rPr>
      </w:pP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lastRenderedPageBreak/>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3378" w14:textId="77777777" w:rsidR="004658A2" w:rsidRDefault="004658A2" w:rsidP="00D67962">
      <w:r>
        <w:separator/>
      </w:r>
    </w:p>
  </w:endnote>
  <w:endnote w:type="continuationSeparator" w:id="0">
    <w:p w14:paraId="660CCB3F" w14:textId="77777777" w:rsidR="004658A2" w:rsidRDefault="004658A2"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A05E" w14:textId="77777777" w:rsidR="004658A2" w:rsidRDefault="004658A2" w:rsidP="00D67962">
      <w:r>
        <w:separator/>
      </w:r>
    </w:p>
  </w:footnote>
  <w:footnote w:type="continuationSeparator" w:id="0">
    <w:p w14:paraId="78E68050" w14:textId="77777777" w:rsidR="004658A2" w:rsidRDefault="004658A2"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4A57"/>
    <w:rsid w:val="000A4C54"/>
    <w:rsid w:val="000C0F82"/>
    <w:rsid w:val="000D1B95"/>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0977"/>
    <w:rsid w:val="001D1BEC"/>
    <w:rsid w:val="001D3213"/>
    <w:rsid w:val="001D3FAC"/>
    <w:rsid w:val="0020482B"/>
    <w:rsid w:val="002107AB"/>
    <w:rsid w:val="0021101E"/>
    <w:rsid w:val="0021371F"/>
    <w:rsid w:val="002176ED"/>
    <w:rsid w:val="00221A70"/>
    <w:rsid w:val="00222C6F"/>
    <w:rsid w:val="002264A7"/>
    <w:rsid w:val="00231BB0"/>
    <w:rsid w:val="0025500F"/>
    <w:rsid w:val="00267EE6"/>
    <w:rsid w:val="00270BA7"/>
    <w:rsid w:val="00271FDF"/>
    <w:rsid w:val="00276A9A"/>
    <w:rsid w:val="00276C4F"/>
    <w:rsid w:val="00282962"/>
    <w:rsid w:val="002A454B"/>
    <w:rsid w:val="002A5CCC"/>
    <w:rsid w:val="002B6F13"/>
    <w:rsid w:val="002C6284"/>
    <w:rsid w:val="002D21C9"/>
    <w:rsid w:val="002D676D"/>
    <w:rsid w:val="002E52D0"/>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02E07"/>
    <w:rsid w:val="00412FAE"/>
    <w:rsid w:val="00417575"/>
    <w:rsid w:val="00424323"/>
    <w:rsid w:val="004249BC"/>
    <w:rsid w:val="004369D4"/>
    <w:rsid w:val="00436B43"/>
    <w:rsid w:val="0044524A"/>
    <w:rsid w:val="00447BA7"/>
    <w:rsid w:val="00454E3A"/>
    <w:rsid w:val="00456A87"/>
    <w:rsid w:val="00457A83"/>
    <w:rsid w:val="004658A2"/>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10FDF"/>
    <w:rsid w:val="006144C9"/>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4F7E"/>
    <w:rsid w:val="007472C1"/>
    <w:rsid w:val="0077066B"/>
    <w:rsid w:val="00777EA3"/>
    <w:rsid w:val="00784037"/>
    <w:rsid w:val="00785B0A"/>
    <w:rsid w:val="00786041"/>
    <w:rsid w:val="00796E0F"/>
    <w:rsid w:val="007A48E0"/>
    <w:rsid w:val="007A491B"/>
    <w:rsid w:val="007B3FB5"/>
    <w:rsid w:val="007C1AC3"/>
    <w:rsid w:val="007C79A1"/>
    <w:rsid w:val="007E58EA"/>
    <w:rsid w:val="007F381B"/>
    <w:rsid w:val="00806967"/>
    <w:rsid w:val="00810332"/>
    <w:rsid w:val="008135B7"/>
    <w:rsid w:val="0082166E"/>
    <w:rsid w:val="00823B3F"/>
    <w:rsid w:val="00827D31"/>
    <w:rsid w:val="0084354B"/>
    <w:rsid w:val="00845009"/>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2527C"/>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60D7B"/>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470"/>
    <w:rsid w:val="00B475AB"/>
    <w:rsid w:val="00B5056C"/>
    <w:rsid w:val="00B66588"/>
    <w:rsid w:val="00B71189"/>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81D5B"/>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2C81"/>
    <w:rsid w:val="00DB5876"/>
    <w:rsid w:val="00DB7272"/>
    <w:rsid w:val="00DC064D"/>
    <w:rsid w:val="00DC752A"/>
    <w:rsid w:val="00DD1B48"/>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029E4"/>
    <w:rsid w:val="00F20FB2"/>
    <w:rsid w:val="00F25148"/>
    <w:rsid w:val="00F34352"/>
    <w:rsid w:val="00F5026E"/>
    <w:rsid w:val="00F56C21"/>
    <w:rsid w:val="00F61270"/>
    <w:rsid w:val="00F750DC"/>
    <w:rsid w:val="00F7615B"/>
    <w:rsid w:val="00F962B8"/>
    <w:rsid w:val="00FB076A"/>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3</cp:revision>
  <cp:lastPrinted>2022-06-27T05:07:00Z</cp:lastPrinted>
  <dcterms:created xsi:type="dcterms:W3CDTF">2022-10-02T02:47:00Z</dcterms:created>
  <dcterms:modified xsi:type="dcterms:W3CDTF">2022-11-11T03:08:00Z</dcterms:modified>
</cp:coreProperties>
</file>