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78DB2358"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984183">
              <w:rPr>
                <w:rFonts w:ascii="Arial" w:hAnsi="Arial" w:cs="Arial"/>
                <w:lang w:eastAsia="zh-CN"/>
              </w:rPr>
              <w:t>D-</w:t>
            </w:r>
            <w:r w:rsidR="00A634D3">
              <w:rPr>
                <w:rFonts w:ascii="Arial" w:hAnsi="Arial" w:cs="Arial"/>
                <w:lang w:eastAsia="zh-CN"/>
              </w:rPr>
              <w:t>6258</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390531A0" w:rsidR="00E6471C" w:rsidRPr="00C76079" w:rsidRDefault="00480EAA"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Y</w:t>
                  </w:r>
                  <w:r w:rsidR="00984183">
                    <w:rPr>
                      <w:rFonts w:eastAsiaTheme="minorEastAsia" w:cs="Arial"/>
                      <w:sz w:val="22"/>
                      <w:szCs w:val="22"/>
                      <w:lang w:eastAsia="zh-CN"/>
                    </w:rPr>
                    <w:t>ellow</w:t>
                  </w:r>
                  <w:r>
                    <w:rPr>
                      <w:rFonts w:eastAsiaTheme="minorEastAsia" w:cs="Arial"/>
                      <w:sz w:val="22"/>
                      <w:szCs w:val="22"/>
                      <w:lang w:eastAsia="zh-CN"/>
                    </w:rPr>
                    <w:t>ish</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710F7649" w:rsidR="00E6471C" w:rsidRPr="00C76079" w:rsidRDefault="00984183"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60CF5B5F" w:rsidR="00E14645" w:rsidRPr="00C76079" w:rsidRDefault="005A3F69" w:rsidP="00D42BBB">
            <w:pPr>
              <w:spacing w:beforeLines="20" w:before="48" w:afterLines="20" w:after="48" w:line="276" w:lineRule="auto"/>
              <w:rPr>
                <w:rFonts w:ascii="Arial" w:hAnsi="Arial" w:cs="Arial"/>
                <w:lang w:eastAsia="zh-CN"/>
              </w:rPr>
            </w:pPr>
            <w:r w:rsidRPr="00C76079">
              <w:rPr>
                <w:rFonts w:ascii="Arial" w:hAnsi="Arial" w:cs="Arial"/>
                <w:lang w:eastAsia="zh-CN"/>
              </w:rPr>
              <w:t>Mixture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5CD0ED62" w:rsidR="00284C8C" w:rsidRPr="00C76079" w:rsidRDefault="00277ED9" w:rsidP="00D42BBB">
            <w:pPr>
              <w:spacing w:beforeLines="20" w:before="48" w:afterLines="20" w:after="48" w:line="276" w:lineRule="auto"/>
              <w:rPr>
                <w:rFonts w:ascii="Arial" w:hAnsi="Arial" w:cs="Arial"/>
                <w:lang w:eastAsia="zh-CN"/>
              </w:rPr>
            </w:pPr>
            <w:r w:rsidRPr="00C76079">
              <w:rPr>
                <w:rFonts w:ascii="Arial" w:hAnsi="Arial" w:cs="Arial"/>
                <w:lang w:eastAsia="zh-CN"/>
              </w:rPr>
              <w:t xml:space="preserve">Solution of alkylammonium salt of a </w:t>
            </w:r>
            <w:r w:rsidR="00C56301">
              <w:rPr>
                <w:rFonts w:ascii="Arial" w:hAnsi="Arial" w:cs="Arial"/>
                <w:lang w:eastAsia="zh-CN"/>
              </w:rPr>
              <w:t>polyfunctional polymer</w:t>
            </w:r>
          </w:p>
        </w:tc>
      </w:tr>
      <w:tr w:rsidR="00C76079" w:rsidRPr="00C76079" w14:paraId="67CC130D" w14:textId="77777777" w:rsidTr="007832DD">
        <w:tc>
          <w:tcPr>
            <w:tcW w:w="9230" w:type="dxa"/>
            <w:gridSpan w:val="2"/>
          </w:tcPr>
          <w:tbl>
            <w:tblPr>
              <w:tblStyle w:val="ac"/>
              <w:tblpPr w:leftFromText="180" w:rightFromText="180" w:vertAnchor="text" w:horzAnchor="margin" w:tblpY="562"/>
              <w:tblOverlap w:val="never"/>
              <w:tblW w:w="0" w:type="auto"/>
              <w:tblLook w:val="04A0" w:firstRow="1" w:lastRow="0" w:firstColumn="1" w:lastColumn="0" w:noHBand="0" w:noVBand="1"/>
            </w:tblPr>
            <w:tblGrid>
              <w:gridCol w:w="3256"/>
              <w:gridCol w:w="2758"/>
              <w:gridCol w:w="2698"/>
            </w:tblGrid>
            <w:tr w:rsidR="00B10246" w:rsidRPr="009D6D8B" w14:paraId="7463F86B" w14:textId="77777777" w:rsidTr="00536889">
              <w:tc>
                <w:tcPr>
                  <w:tcW w:w="3256" w:type="dxa"/>
                </w:tcPr>
                <w:p w14:paraId="63AFCDEC" w14:textId="77777777" w:rsidR="00B10246" w:rsidRPr="009D6D8B" w:rsidRDefault="00B10246" w:rsidP="00B10246">
                  <w:pPr>
                    <w:spacing w:beforeLines="20" w:before="48" w:afterLines="20" w:after="48" w:line="276" w:lineRule="auto"/>
                    <w:rPr>
                      <w:rFonts w:ascii="Arial" w:hAnsi="Arial" w:cs="Arial"/>
                      <w:bCs/>
                      <w:lang w:eastAsia="zh-CN"/>
                    </w:rPr>
                  </w:pPr>
                  <w:r w:rsidRPr="009D6D8B">
                    <w:rPr>
                      <w:rFonts w:ascii="Arial" w:hAnsi="Arial" w:cs="Arial"/>
                      <w:bCs/>
                      <w:lang w:eastAsia="zh-CN"/>
                    </w:rPr>
                    <w:t>O</w:t>
                  </w:r>
                  <w:r w:rsidRPr="009D6D8B">
                    <w:rPr>
                      <w:rFonts w:ascii="Arial" w:hAnsi="Arial" w:cs="Arial" w:hint="eastAsia"/>
                      <w:bCs/>
                      <w:lang w:eastAsia="zh-CN"/>
                    </w:rPr>
                    <w:t>ther</w:t>
                  </w:r>
                  <w:r w:rsidRPr="009D6D8B">
                    <w:rPr>
                      <w:rFonts w:ascii="Arial" w:hAnsi="Arial" w:cs="Arial"/>
                      <w:bCs/>
                      <w:lang w:eastAsia="zh-CN"/>
                    </w:rPr>
                    <w:t xml:space="preserve"> Components</w:t>
                  </w:r>
                </w:p>
              </w:tc>
              <w:tc>
                <w:tcPr>
                  <w:tcW w:w="2758" w:type="dxa"/>
                </w:tcPr>
                <w:p w14:paraId="6A7BBAC3" w14:textId="77777777" w:rsidR="00B10246" w:rsidRPr="009D6D8B" w:rsidRDefault="00B10246" w:rsidP="00B10246">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CAS</w:t>
                  </w:r>
                </w:p>
              </w:tc>
              <w:tc>
                <w:tcPr>
                  <w:tcW w:w="2698" w:type="dxa"/>
                </w:tcPr>
                <w:p w14:paraId="27B8B77D" w14:textId="77777777" w:rsidR="00B10246" w:rsidRPr="009D6D8B" w:rsidRDefault="00B10246" w:rsidP="00B10246">
                  <w:pPr>
                    <w:spacing w:beforeLines="20" w:before="48" w:afterLines="20" w:after="48" w:line="276" w:lineRule="auto"/>
                    <w:jc w:val="center"/>
                    <w:rPr>
                      <w:rFonts w:ascii="Arial" w:hAnsi="Arial" w:cs="Arial"/>
                      <w:bCs/>
                      <w:lang w:eastAsia="zh-CN"/>
                    </w:rPr>
                  </w:pPr>
                  <w:r w:rsidRPr="009D6D8B">
                    <w:rPr>
                      <w:rFonts w:ascii="Arial" w:hAnsi="Arial" w:cs="Arial"/>
                      <w:bCs/>
                      <w:lang w:eastAsia="zh-CN"/>
                    </w:rPr>
                    <w:t>Concentration (%)</w:t>
                  </w:r>
                </w:p>
              </w:tc>
            </w:tr>
            <w:tr w:rsidR="00B10246" w:rsidRPr="009D6D8B" w14:paraId="54C3CBC2" w14:textId="77777777" w:rsidTr="00536889">
              <w:tc>
                <w:tcPr>
                  <w:tcW w:w="3256" w:type="dxa"/>
                </w:tcPr>
                <w:p w14:paraId="3A3E220C" w14:textId="29D1D350" w:rsidR="00B10246" w:rsidRPr="009D6D8B" w:rsidRDefault="00B10246" w:rsidP="00B10246">
                  <w:pPr>
                    <w:spacing w:beforeLines="20" w:before="48" w:afterLines="20" w:after="48" w:line="276" w:lineRule="auto"/>
                    <w:rPr>
                      <w:rFonts w:ascii="Arial" w:hAnsi="Arial" w:cs="Arial"/>
                      <w:bCs/>
                      <w:lang w:eastAsia="zh-CN"/>
                    </w:rPr>
                  </w:pPr>
                  <w:r>
                    <w:rPr>
                      <w:rFonts w:ascii="Arial" w:hAnsi="Arial" w:cs="Arial"/>
                      <w:bCs/>
                      <w:lang w:eastAsia="zh-CN"/>
                    </w:rPr>
                    <w:t xml:space="preserve">Water </w:t>
                  </w:r>
                </w:p>
              </w:tc>
              <w:tc>
                <w:tcPr>
                  <w:tcW w:w="2758" w:type="dxa"/>
                </w:tcPr>
                <w:p w14:paraId="7CAD05E4" w14:textId="2BFC2EE6" w:rsidR="00B10246" w:rsidRPr="00BB4066" w:rsidRDefault="00B10246" w:rsidP="00B10246">
                  <w:pPr>
                    <w:spacing w:beforeLines="20" w:before="48" w:afterLines="20" w:after="48" w:line="276" w:lineRule="auto"/>
                    <w:jc w:val="center"/>
                    <w:rPr>
                      <w:rFonts w:ascii="Helvetica" w:hAnsi="Helvetica"/>
                      <w:sz w:val="21"/>
                      <w:szCs w:val="21"/>
                      <w:shd w:val="clear" w:color="auto" w:fill="FFFFFF"/>
                      <w:lang w:eastAsia="zh-CN"/>
                    </w:rPr>
                  </w:pPr>
                  <w:r>
                    <w:rPr>
                      <w:rFonts w:ascii="Helvetica" w:hAnsi="Helvetica"/>
                      <w:sz w:val="21"/>
                      <w:szCs w:val="21"/>
                      <w:shd w:val="clear" w:color="auto" w:fill="FFFFFF"/>
                      <w:lang w:eastAsia="zh-CN"/>
                    </w:rPr>
                    <w:t>7732-18-5</w:t>
                  </w:r>
                </w:p>
              </w:tc>
              <w:tc>
                <w:tcPr>
                  <w:tcW w:w="2698" w:type="dxa"/>
                </w:tcPr>
                <w:p w14:paraId="14C7EC60" w14:textId="601582CD" w:rsidR="00B10246" w:rsidRPr="009D6D8B" w:rsidRDefault="00E603A2" w:rsidP="00B10246">
                  <w:pPr>
                    <w:spacing w:beforeLines="20" w:before="48" w:afterLines="20" w:after="48" w:line="276" w:lineRule="auto"/>
                    <w:jc w:val="center"/>
                    <w:rPr>
                      <w:rFonts w:ascii="Arial" w:hAnsi="Arial" w:cs="Arial"/>
                      <w:bCs/>
                      <w:lang w:eastAsia="zh-CN"/>
                    </w:rPr>
                  </w:pPr>
                  <w:r>
                    <w:rPr>
                      <w:rFonts w:ascii="Arial" w:hAnsi="Arial" w:cs="Arial"/>
                      <w:bCs/>
                      <w:lang w:eastAsia="zh-CN"/>
                    </w:rPr>
                    <w:t>70</w:t>
                  </w:r>
                  <w:r w:rsidR="00B10246">
                    <w:rPr>
                      <w:rFonts w:ascii="Arial" w:hAnsi="Arial" w:cs="Arial"/>
                      <w:bCs/>
                      <w:lang w:eastAsia="zh-CN"/>
                    </w:rPr>
                    <w:t>-</w:t>
                  </w:r>
                  <w:r>
                    <w:rPr>
                      <w:rFonts w:ascii="Arial" w:hAnsi="Arial" w:cs="Arial"/>
                      <w:bCs/>
                      <w:lang w:eastAsia="zh-CN"/>
                    </w:rPr>
                    <w:t>80</w:t>
                  </w:r>
                </w:p>
              </w:tc>
            </w:tr>
          </w:tbl>
          <w:p w14:paraId="73BC5E0E" w14:textId="77777777" w:rsidR="00BE4930" w:rsidRPr="00C76079" w:rsidRDefault="00BE4930" w:rsidP="00D42BBB">
            <w:pPr>
              <w:spacing w:beforeLines="20" w:before="48" w:afterLines="20" w:after="48" w:line="276" w:lineRule="auto"/>
              <w:rPr>
                <w:rFonts w:ascii="Arial" w:hAnsi="Arial" w:cs="Arial"/>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086EA18E"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monoxide, carbon dioxide, silicon dioxide</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7777777" w:rsidR="0091097A" w:rsidRPr="00C76079" w:rsidRDefault="0091097A" w:rsidP="00D42BBB">
            <w:pPr>
              <w:pStyle w:val="31"/>
              <w:spacing w:before="20" w:after="20" w:line="276" w:lineRule="auto"/>
              <w:ind w:left="0"/>
              <w:rPr>
                <w:rFonts w:eastAsiaTheme="minorEastAsia" w:cs="Arial"/>
                <w:b w:val="0"/>
                <w:bCs w:val="0"/>
                <w:sz w:val="21"/>
                <w:lang w:eastAsia="zh-CN"/>
              </w:rPr>
            </w:pPr>
            <w:r w:rsidRPr="00C76079">
              <w:rPr>
                <w:rFonts w:cs="Arial"/>
                <w:b w:val="0"/>
                <w:sz w:val="21"/>
              </w:rPr>
              <w:t>Keep container tightly closed.  Do not breathe vapors, mist or</w:t>
            </w:r>
            <w:r w:rsidRPr="00C76079">
              <w:rPr>
                <w:rFonts w:cs="Arial"/>
                <w:b w:val="0"/>
                <w:spacing w:val="-16"/>
                <w:sz w:val="21"/>
              </w:rPr>
              <w:t xml:space="preserve"> </w:t>
            </w:r>
            <w:r w:rsidRPr="00C76079">
              <w:rPr>
                <w:rFonts w:cs="Arial"/>
                <w:b w:val="0"/>
                <w:sz w:val="21"/>
              </w:rPr>
              <w:t>gas.</w:t>
            </w:r>
            <w:r w:rsidRPr="00C76079">
              <w:rPr>
                <w:rFonts w:eastAsiaTheme="minorEastAsia" w:cs="Arial"/>
                <w:b w:val="0"/>
                <w:sz w:val="21"/>
                <w:lang w:eastAsia="zh-CN"/>
              </w:rPr>
              <w:t xml:space="preserve"> </w:t>
            </w:r>
            <w:r w:rsidRPr="00C76079">
              <w:rPr>
                <w:rFonts w:cs="Arial"/>
                <w:b w:val="0"/>
                <w:sz w:val="21"/>
              </w:rPr>
              <w:t xml:space="preserve">Avoid contact with eyes, skin and clothing. Wash thoroughly after handling. </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6EF14CD3"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place</w:t>
            </w:r>
            <w:r w:rsidR="00441BED">
              <w:rPr>
                <w:rFonts w:ascii="Arial" w:hAnsi="Arial" w:cs="Arial"/>
              </w:rPr>
              <w:t>.</w:t>
            </w:r>
            <w:r w:rsidR="00441BED" w:rsidRPr="001C77B9">
              <w:rPr>
                <w:rFonts w:ascii="Arial" w:hAnsi="Arial" w:cs="Arial"/>
                <w:color w:val="FF0000"/>
                <w:szCs w:val="21"/>
              </w:rPr>
              <w:t xml:space="preserve"> </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48FE4BAF" w:rsidR="00FB1A8D" w:rsidRPr="00C76079" w:rsidRDefault="00D46F2F"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Y</w:t>
            </w:r>
            <w:r w:rsidR="00C56301">
              <w:rPr>
                <w:rFonts w:ascii="Arial" w:hAnsi="Arial" w:cs="Arial"/>
                <w:lang w:eastAsia="zh-CN"/>
              </w:rPr>
              <w:t>ellow</w:t>
            </w:r>
            <w:r>
              <w:rPr>
                <w:rFonts w:ascii="Arial" w:hAnsi="Arial" w:cs="Arial"/>
                <w:lang w:eastAsia="zh-CN"/>
              </w:rPr>
              <w:t>ish</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425340C7" w:rsidR="00F50308" w:rsidRPr="00C76079" w:rsidRDefault="00E21F18"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w:t>
            </w:r>
            <w:r w:rsidR="00E603A2">
              <w:rPr>
                <w:rFonts w:eastAsiaTheme="minorEastAsia" w:cs="Arial"/>
                <w:sz w:val="22"/>
                <w:szCs w:val="22"/>
                <w:lang w:eastAsia="zh-CN"/>
              </w:rPr>
              <w:t>2</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581C48B9" w:rsidR="00237157" w:rsidRPr="00C76079" w:rsidRDefault="00E21F18"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501ECCBA"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Pr="00C76079">
              <w:rPr>
                <w:rFonts w:ascii="Arial" w:hAnsi="Arial" w:cs="Arial"/>
                <w:lang w:eastAsia="zh-CN"/>
              </w:rPr>
              <w:t>500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3F294C15" w14:textId="73B03221"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tc>
        <w:tc>
          <w:tcPr>
            <w:tcW w:w="6219" w:type="dxa"/>
          </w:tcPr>
          <w:p w14:paraId="2E58A356" w14:textId="2D262D27" w:rsidR="008C592D" w:rsidRPr="00C76079"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0A736295" w:rsidR="00237157" w:rsidRPr="00C76079" w:rsidRDefault="00E21F18"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w:t>
            </w:r>
            <w:r w:rsidRPr="00C76079">
              <w:rPr>
                <w:rFonts w:cs="Arial"/>
                <w:sz w:val="20"/>
              </w:rPr>
              <w:lastRenderedPageBreak/>
              <w:t>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lastRenderedPageBreak/>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169E06FE" w:rsidR="00CD4967" w:rsidRPr="00C76079" w:rsidRDefault="00480EAA" w:rsidP="00D42BBB">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374F" w14:textId="77777777" w:rsidR="00CB5501" w:rsidRDefault="00CB5501" w:rsidP="0046109E">
      <w:r>
        <w:separator/>
      </w:r>
    </w:p>
  </w:endnote>
  <w:endnote w:type="continuationSeparator" w:id="0">
    <w:p w14:paraId="2D0C47AC" w14:textId="77777777" w:rsidR="00CB5501" w:rsidRDefault="00CB5501"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8896" w14:textId="77777777" w:rsidR="00CB5501" w:rsidRDefault="00CB5501" w:rsidP="0046109E">
      <w:r>
        <w:separator/>
      </w:r>
    </w:p>
  </w:footnote>
  <w:footnote w:type="continuationSeparator" w:id="0">
    <w:p w14:paraId="08B4EB1C" w14:textId="77777777" w:rsidR="00CB5501" w:rsidRDefault="00CB5501"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2054780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w:t>
                          </w:r>
                          <w:r w:rsidR="00A634D3">
                            <w:rPr>
                              <w:rFonts w:ascii="Arial"/>
                              <w:sz w:val="20"/>
                              <w:lang w:eastAsia="zh-CN"/>
                            </w:rPr>
                            <w:t>6258</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2054780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984183">
                      <w:rPr>
                        <w:rFonts w:ascii="Arial"/>
                        <w:sz w:val="20"/>
                        <w:lang w:eastAsia="zh-CN"/>
                      </w:rPr>
                      <w:t>D-</w:t>
                    </w:r>
                    <w:r w:rsidR="00A634D3">
                      <w:rPr>
                        <w:rFonts w:ascii="Arial"/>
                        <w:sz w:val="20"/>
                        <w:lang w:eastAsia="zh-CN"/>
                      </w:rPr>
                      <w:t>6258</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74815"/>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4558D"/>
    <w:rsid w:val="001564EA"/>
    <w:rsid w:val="001633A0"/>
    <w:rsid w:val="00171ECF"/>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713"/>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24F49"/>
    <w:rsid w:val="00330B0B"/>
    <w:rsid w:val="003342B2"/>
    <w:rsid w:val="00334CF5"/>
    <w:rsid w:val="003540F8"/>
    <w:rsid w:val="00354FBB"/>
    <w:rsid w:val="0036282D"/>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0EAA"/>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3A43"/>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183"/>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34D3"/>
    <w:rsid w:val="00A65A2F"/>
    <w:rsid w:val="00A74D5D"/>
    <w:rsid w:val="00AA3052"/>
    <w:rsid w:val="00AA3D2A"/>
    <w:rsid w:val="00AC085C"/>
    <w:rsid w:val="00AC48AC"/>
    <w:rsid w:val="00AE6502"/>
    <w:rsid w:val="00AF0B29"/>
    <w:rsid w:val="00B10246"/>
    <w:rsid w:val="00B10CD3"/>
    <w:rsid w:val="00B11A37"/>
    <w:rsid w:val="00B1248D"/>
    <w:rsid w:val="00B26D28"/>
    <w:rsid w:val="00B35158"/>
    <w:rsid w:val="00B50282"/>
    <w:rsid w:val="00B54F83"/>
    <w:rsid w:val="00B7449F"/>
    <w:rsid w:val="00B87A8E"/>
    <w:rsid w:val="00B91266"/>
    <w:rsid w:val="00BA0B22"/>
    <w:rsid w:val="00BA683E"/>
    <w:rsid w:val="00BC46A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56301"/>
    <w:rsid w:val="00C61CCF"/>
    <w:rsid w:val="00C70AB2"/>
    <w:rsid w:val="00C76079"/>
    <w:rsid w:val="00C77092"/>
    <w:rsid w:val="00C91B60"/>
    <w:rsid w:val="00CB1E0C"/>
    <w:rsid w:val="00CB5501"/>
    <w:rsid w:val="00CD4967"/>
    <w:rsid w:val="00CD59B1"/>
    <w:rsid w:val="00CF30A4"/>
    <w:rsid w:val="00CF4555"/>
    <w:rsid w:val="00D003BA"/>
    <w:rsid w:val="00D1337A"/>
    <w:rsid w:val="00D17CAA"/>
    <w:rsid w:val="00D31D23"/>
    <w:rsid w:val="00D35C04"/>
    <w:rsid w:val="00D36334"/>
    <w:rsid w:val="00D417D6"/>
    <w:rsid w:val="00D42BBB"/>
    <w:rsid w:val="00D46F2F"/>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1F18"/>
    <w:rsid w:val="00E22084"/>
    <w:rsid w:val="00E227D0"/>
    <w:rsid w:val="00E355C8"/>
    <w:rsid w:val="00E37011"/>
    <w:rsid w:val="00E37A5F"/>
    <w:rsid w:val="00E468F3"/>
    <w:rsid w:val="00E57A98"/>
    <w:rsid w:val="00E603A2"/>
    <w:rsid w:val="00E63BFB"/>
    <w:rsid w:val="00E6471C"/>
    <w:rsid w:val="00E64D79"/>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1305</Words>
  <Characters>7439</Characters>
  <Application>Microsoft Office Word</Application>
  <DocSecurity>0</DocSecurity>
  <Lines>61</Lines>
  <Paragraphs>17</Paragraphs>
  <ScaleCrop>false</ScaleCrop>
  <Company>Microsoft</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威 刘</cp:lastModifiedBy>
  <cp:revision>5</cp:revision>
  <cp:lastPrinted>2022-06-27T05:06:00Z</cp:lastPrinted>
  <dcterms:created xsi:type="dcterms:W3CDTF">2023-04-17T05:16:00Z</dcterms:created>
  <dcterms:modified xsi:type="dcterms:W3CDTF">2023-05-31T09:15:00Z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