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648EF941" w:rsidR="00E85AF0" w:rsidRPr="004E40B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957A39" w:rsidRPr="004E40B8">
        <w:rPr>
          <w:rFonts w:ascii="Arial" w:eastAsiaTheme="majorEastAsia" w:hAnsi="Arial" w:cs="Arial"/>
          <w:b/>
          <w:sz w:val="30"/>
          <w:szCs w:val="30"/>
          <w:lang w:eastAsia="zh-CN"/>
        </w:rPr>
        <w:t>D</w:t>
      </w:r>
      <w:r w:rsidR="00101AF7">
        <w:rPr>
          <w:rFonts w:ascii="Arial" w:eastAsiaTheme="majorEastAsia" w:hAnsi="Arial" w:cs="Arial" w:hint="eastAsia"/>
          <w:b/>
          <w:sz w:val="30"/>
          <w:szCs w:val="30"/>
          <w:lang w:eastAsia="zh-CN"/>
        </w:rPr>
        <w:t>-</w:t>
      </w:r>
      <w:r w:rsidR="00DB02EC">
        <w:rPr>
          <w:rFonts w:ascii="Arial" w:eastAsiaTheme="majorEastAsia" w:hAnsi="Arial" w:cs="Arial" w:hint="eastAsia"/>
          <w:b/>
          <w:sz w:val="30"/>
          <w:szCs w:val="30"/>
          <w:lang w:eastAsia="zh-CN"/>
        </w:rPr>
        <w:t>6</w:t>
      </w:r>
      <w:r w:rsidR="00F9295B">
        <w:rPr>
          <w:rFonts w:ascii="Arial" w:eastAsiaTheme="majorEastAsia" w:hAnsi="Arial" w:cs="Arial" w:hint="eastAsia"/>
          <w:b/>
          <w:sz w:val="30"/>
          <w:szCs w:val="30"/>
          <w:lang w:eastAsia="zh-CN"/>
        </w:rPr>
        <w:t>380</w:t>
      </w:r>
    </w:p>
    <w:p w14:paraId="6097FFB3" w14:textId="459DD8A2" w:rsidR="00E85AF0" w:rsidRPr="00C64E0F" w:rsidRDefault="00C64E0F" w:rsidP="00ED3631">
      <w:pPr>
        <w:jc w:val="center"/>
        <w:rPr>
          <w:rFonts w:ascii="Arial" w:eastAsiaTheme="majorEastAsia" w:hAnsi="Arial" w:cs="Arial"/>
          <w:lang w:eastAsia="zh-CN"/>
        </w:rPr>
      </w:pPr>
      <w:r w:rsidRPr="00C64E0F">
        <w:rPr>
          <w:rFonts w:ascii="Arial" w:eastAsiaTheme="majorEastAsia" w:cs="Arial"/>
          <w:lang w:eastAsia="zh-CN"/>
        </w:rPr>
        <w:t>Wetting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4AE88C0B" w14:textId="5E28BC27" w:rsidR="00E85AF0" w:rsidRDefault="00E85AF0" w:rsidP="00BB686D">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C64E0F">
        <w:rPr>
          <w:rFonts w:ascii="Arial" w:eastAsiaTheme="majorEastAsia" w:hAnsi="Arial" w:cs="Arial"/>
          <w:b/>
          <w:sz w:val="21"/>
          <w:szCs w:val="21"/>
          <w:lang w:eastAsia="zh-CN"/>
        </w:rPr>
        <w:t>D-</w:t>
      </w:r>
      <w:r w:rsidR="007E280F">
        <w:rPr>
          <w:rFonts w:ascii="Arial" w:eastAsiaTheme="majorEastAsia" w:hAnsi="Arial" w:cs="Arial" w:hint="eastAsia"/>
          <w:b/>
          <w:sz w:val="21"/>
          <w:szCs w:val="21"/>
          <w:lang w:eastAsia="zh-CN"/>
        </w:rPr>
        <w:t>6</w:t>
      </w:r>
      <w:r w:rsidR="00F9295B">
        <w:rPr>
          <w:rFonts w:ascii="Arial" w:eastAsiaTheme="majorEastAsia" w:hAnsi="Arial" w:cs="Arial" w:hint="eastAsia"/>
          <w:b/>
          <w:sz w:val="21"/>
          <w:szCs w:val="21"/>
          <w:lang w:eastAsia="zh-CN"/>
        </w:rPr>
        <w:t>380</w:t>
      </w:r>
      <w:r w:rsidR="00045AA7">
        <w:rPr>
          <w:rFonts w:ascii="Arial" w:eastAsiaTheme="majorEastAsia" w:hAnsi="Arial" w:cs="Arial" w:hint="eastAsia"/>
          <w:sz w:val="21"/>
          <w:szCs w:val="21"/>
          <w:lang w:eastAsia="zh-CN"/>
        </w:rPr>
        <w:t xml:space="preserve"> is a</w:t>
      </w:r>
      <w:r w:rsidR="00E86BEE">
        <w:rPr>
          <w:rFonts w:ascii="Arial" w:eastAsiaTheme="majorEastAsia" w:hAnsi="Arial" w:cs="Arial"/>
          <w:sz w:val="21"/>
          <w:szCs w:val="21"/>
          <w:lang w:eastAsia="zh-CN"/>
        </w:rPr>
        <w:t xml:space="preserve"> polyurethane modified structural polyacrylate wetting and dispersing agent. It </w:t>
      </w:r>
      <w:r w:rsidR="00063029">
        <w:rPr>
          <w:rFonts w:ascii="Arial" w:eastAsiaTheme="majorEastAsia" w:hAnsi="Arial" w:cs="Arial"/>
          <w:sz w:val="21"/>
          <w:szCs w:val="21"/>
          <w:lang w:eastAsia="zh-CN"/>
        </w:rPr>
        <w:t>is suitable</w:t>
      </w:r>
      <w:r w:rsidR="00F9295B">
        <w:rPr>
          <w:rFonts w:ascii="Arial" w:eastAsiaTheme="majorEastAsia" w:hAnsi="Arial" w:cs="Arial"/>
          <w:sz w:val="21"/>
          <w:szCs w:val="21"/>
          <w:lang w:eastAsia="zh-CN"/>
        </w:rPr>
        <w:t xml:space="preserve"> solvent borne and water borne coating systems</w:t>
      </w:r>
      <w:r w:rsidR="00063029">
        <w:rPr>
          <w:rFonts w:ascii="Arial" w:eastAsiaTheme="majorEastAsia" w:hAnsi="Arial" w:cs="Arial"/>
          <w:sz w:val="21"/>
          <w:szCs w:val="21"/>
          <w:lang w:eastAsia="zh-CN"/>
        </w:rPr>
        <w:t>, and also is universal for inorganic, organic and carbon black systems</w:t>
      </w:r>
      <w:r w:rsidR="00F9295B">
        <w:rPr>
          <w:rFonts w:ascii="Arial" w:eastAsiaTheme="majorEastAsia" w:hAnsi="Arial" w:cs="Arial"/>
          <w:sz w:val="21"/>
          <w:szCs w:val="21"/>
          <w:lang w:eastAsia="zh-CN"/>
        </w:rPr>
        <w:t>.</w:t>
      </w:r>
      <w:r w:rsidR="00063029">
        <w:rPr>
          <w:rFonts w:ascii="Arial" w:eastAsiaTheme="majorEastAsia" w:hAnsi="Arial" w:cs="Arial"/>
          <w:sz w:val="21"/>
          <w:szCs w:val="21"/>
          <w:lang w:eastAsia="zh-CN"/>
        </w:rPr>
        <w:t xml:space="preserve"> The product is deflocculating pigments with steric stabilization, has excellent storage stability with epoxy group. it is a very good choice in water borne epoxy coating systems, such as container coatings, flooring coatings, general industrial coatings. It is also suitable for solvent borne coatings, and </w:t>
      </w:r>
      <w:r w:rsidR="00FE0824">
        <w:rPr>
          <w:rFonts w:ascii="Arial" w:eastAsiaTheme="majorEastAsia" w:hAnsi="Arial" w:cs="Arial"/>
          <w:sz w:val="21"/>
          <w:szCs w:val="21"/>
          <w:lang w:eastAsia="zh-CN"/>
        </w:rPr>
        <w:t>printing</w:t>
      </w:r>
      <w:r w:rsidR="00063029">
        <w:rPr>
          <w:rFonts w:ascii="Arial" w:eastAsiaTheme="majorEastAsia" w:hAnsi="Arial" w:cs="Arial"/>
          <w:sz w:val="21"/>
          <w:szCs w:val="21"/>
          <w:lang w:eastAsia="zh-CN"/>
        </w:rPr>
        <w:t xml:space="preserve"> inks, recommended for inorganic pigments.</w:t>
      </w:r>
    </w:p>
    <w:p w14:paraId="48A4EC41" w14:textId="77777777" w:rsidR="004E40B8" w:rsidRPr="004E40B8" w:rsidRDefault="004E40B8" w:rsidP="004E40B8">
      <w:pPr>
        <w:spacing w:line="312" w:lineRule="auto"/>
        <w:rPr>
          <w:rFonts w:ascii="Arial" w:eastAsiaTheme="majorEastAsia" w:hAnsi="Arial" w:cs="Arial"/>
          <w:sz w:val="21"/>
          <w:szCs w:val="21"/>
          <w:lang w:eastAsia="zh-CN"/>
        </w:rPr>
      </w:pP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5F431168" w:rsidR="000542EA" w:rsidRPr="00045AA7" w:rsidRDefault="00F9295B" w:rsidP="00045AA7">
            <w:pPr>
              <w:rPr>
                <w:rFonts w:ascii="Arial" w:eastAsiaTheme="majorEastAsia" w:hAnsi="Arial" w:cs="Arial"/>
                <w:sz w:val="21"/>
                <w:szCs w:val="21"/>
                <w:lang w:eastAsia="zh-CN"/>
              </w:rPr>
            </w:pPr>
            <w:r>
              <w:rPr>
                <w:rFonts w:ascii="Arial" w:eastAsiaTheme="majorEastAsia" w:cs="Arial"/>
                <w:sz w:val="21"/>
                <w:szCs w:val="21"/>
                <w:lang w:eastAsia="zh-CN"/>
              </w:rPr>
              <w:t>Light y</w:t>
            </w:r>
            <w:r w:rsidR="00E86BEE">
              <w:rPr>
                <w:rFonts w:ascii="Arial" w:eastAsiaTheme="majorEastAsia" w:cs="Arial"/>
                <w:sz w:val="21"/>
                <w:szCs w:val="21"/>
                <w:lang w:eastAsia="zh-CN"/>
              </w:rPr>
              <w:t xml:space="preserve">ellow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6F44A273" w:rsidR="00C40813" w:rsidRPr="00045AA7" w:rsidRDefault="00B02357" w:rsidP="00045AA7">
            <w:pPr>
              <w:rPr>
                <w:rFonts w:ascii="Arial" w:eastAsiaTheme="majorEastAsia" w:hAnsi="Arial" w:cs="Arial"/>
                <w:sz w:val="21"/>
                <w:szCs w:val="21"/>
                <w:lang w:eastAsia="zh-CN"/>
              </w:rPr>
            </w:pPr>
            <w:r>
              <w:rPr>
                <w:rFonts w:ascii="Arial" w:eastAsiaTheme="majorEastAsia" w:cs="Arial"/>
                <w:sz w:val="21"/>
                <w:szCs w:val="21"/>
                <w:lang w:eastAsia="zh-CN"/>
              </w:rPr>
              <w:t>1.0</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60F4839A" w:rsidR="00C40813" w:rsidRPr="00045AA7" w:rsidRDefault="00F9295B"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60</w:t>
            </w:r>
          </w:p>
        </w:tc>
      </w:tr>
      <w:tr w:rsidR="00EC096A" w:rsidRPr="00045AA7" w14:paraId="1D9D5B40" w14:textId="77777777" w:rsidTr="004E40B8">
        <w:trPr>
          <w:jc w:val="center"/>
        </w:trPr>
        <w:tc>
          <w:tcPr>
            <w:tcW w:w="4106" w:type="dxa"/>
          </w:tcPr>
          <w:p w14:paraId="7905109F" w14:textId="00FAB713" w:rsidR="00EC096A" w:rsidRDefault="00EC096A"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w:t>
            </w:r>
            <w:r>
              <w:rPr>
                <w:rFonts w:ascii="Arial" w:eastAsiaTheme="majorEastAsia" w:hAnsi="Times New Roman" w:cs="Arial"/>
                <w:noProof w:val="0"/>
                <w:sz w:val="21"/>
                <w:szCs w:val="21"/>
                <w:lang w:eastAsia="zh-CN"/>
              </w:rPr>
              <w:t>lash point(</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525B8F82" w14:textId="627F9FEA" w:rsidR="00EC096A" w:rsidRPr="00045AA7" w:rsidRDefault="00F9295B"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75</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68A2D595" w14:textId="1A235E27" w:rsidR="00454F12" w:rsidRDefault="00F61270" w:rsidP="00B03125">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Coadd™ D</w:t>
      </w:r>
      <w:r w:rsidR="00B02357">
        <w:rPr>
          <w:rFonts w:ascii="Arial" w:eastAsiaTheme="majorEastAsia" w:hAnsi="Arial" w:cs="Arial"/>
          <w:b/>
          <w:sz w:val="21"/>
          <w:szCs w:val="21"/>
          <w:lang w:eastAsia="zh-CN"/>
        </w:rPr>
        <w:t>-</w:t>
      </w:r>
      <w:r w:rsidR="00E86BEE">
        <w:rPr>
          <w:rFonts w:ascii="Arial" w:eastAsiaTheme="majorEastAsia" w:hAnsi="Arial" w:cs="Arial"/>
          <w:b/>
          <w:sz w:val="21"/>
          <w:szCs w:val="21"/>
          <w:lang w:eastAsia="zh-CN"/>
        </w:rPr>
        <w:t>6</w:t>
      </w:r>
      <w:r w:rsidR="00F9295B">
        <w:rPr>
          <w:rFonts w:ascii="Arial" w:eastAsiaTheme="majorEastAsia" w:hAnsi="Arial" w:cs="Arial" w:hint="eastAsia"/>
          <w:b/>
          <w:sz w:val="21"/>
          <w:szCs w:val="21"/>
          <w:lang w:eastAsia="zh-CN"/>
        </w:rPr>
        <w:t>380</w:t>
      </w:r>
      <w:r w:rsidR="003C41BE">
        <w:rPr>
          <w:rFonts w:ascii="Arial" w:eastAsiaTheme="majorEastAsia" w:hAnsi="Arial" w:cs="Arial" w:hint="eastAsia"/>
          <w:b/>
          <w:sz w:val="21"/>
          <w:szCs w:val="21"/>
          <w:lang w:eastAsia="zh-CN"/>
        </w:rPr>
        <w:t xml:space="preserve"> </w:t>
      </w:r>
      <w:r w:rsidR="001A4F4F">
        <w:rPr>
          <w:rFonts w:ascii="Arial" w:eastAsiaTheme="majorEastAsia" w:hAnsi="Arial" w:cs="Arial"/>
          <w:sz w:val="21"/>
          <w:szCs w:val="21"/>
          <w:lang w:eastAsia="zh-CN"/>
        </w:rPr>
        <w:t>is good stability in Zinc rich</w:t>
      </w:r>
      <w:r w:rsidR="00454F12">
        <w:rPr>
          <w:rFonts w:ascii="Arial" w:eastAsiaTheme="majorEastAsia" w:hAnsi="Arial" w:cs="Arial"/>
          <w:sz w:val="21"/>
          <w:szCs w:val="21"/>
          <w:lang w:eastAsia="zh-CN"/>
        </w:rPr>
        <w:t xml:space="preserve"> primer coat</w:t>
      </w:r>
      <w:r w:rsidR="001A4F4F">
        <w:rPr>
          <w:rFonts w:ascii="Arial" w:eastAsiaTheme="majorEastAsia" w:hAnsi="Arial" w:cs="Arial"/>
          <w:sz w:val="21"/>
          <w:szCs w:val="21"/>
          <w:lang w:eastAsia="zh-CN"/>
        </w:rPr>
        <w:t xml:space="preserve">, middle coating and top coating </w:t>
      </w:r>
      <w:r w:rsidR="00454F12">
        <w:rPr>
          <w:rFonts w:ascii="Arial" w:eastAsiaTheme="majorEastAsia" w:hAnsi="Arial" w:cs="Arial"/>
          <w:sz w:val="21"/>
          <w:szCs w:val="21"/>
          <w:lang w:eastAsia="zh-CN"/>
        </w:rPr>
        <w:t>water borne epoxy systems. It is universal in water borne pigment color pastes and coating formulations with inorganic/organic/carbon black pigments.</w:t>
      </w:r>
    </w:p>
    <w:p w14:paraId="012B1414" w14:textId="3695BDA8" w:rsidR="00454F12" w:rsidRDefault="00454F12" w:rsidP="00454F12">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Suggested dosage based on the pigments:</w:t>
      </w:r>
    </w:p>
    <w:p w14:paraId="247D4380" w14:textId="3D097358" w:rsidR="00454F12" w:rsidRDefault="00454F12" w:rsidP="00454F12">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T</w:t>
      </w:r>
      <w:r>
        <w:rPr>
          <w:rFonts w:ascii="Arial" w:eastAsiaTheme="majorEastAsia" w:hAnsi="Arial" w:cs="Arial"/>
          <w:sz w:val="21"/>
          <w:szCs w:val="21"/>
          <w:lang w:eastAsia="zh-CN"/>
        </w:rPr>
        <w:t xml:space="preserve">itanium dioxides: 1.5 – 5%; Inorganic pigments: 5 - 20%; Organic pigments: 15 - 45%; </w:t>
      </w:r>
    </w:p>
    <w:p w14:paraId="456D0E6B" w14:textId="2E9AD7A1" w:rsidR="00454F12" w:rsidRDefault="00454F12"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blacks: 25-65%.</w:t>
      </w:r>
    </w:p>
    <w:p w14:paraId="7D96FC30" w14:textId="0366EF8E" w:rsidR="00454F12" w:rsidRPr="00454F12" w:rsidRDefault="00454F12"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For solvent borne coatings, it is recommended for inorganic pigments, suggested dosage based on the pigments:</w:t>
      </w:r>
    </w:p>
    <w:p w14:paraId="475CAB78" w14:textId="77777777"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T</w:t>
      </w:r>
      <w:r>
        <w:rPr>
          <w:rFonts w:ascii="Arial" w:eastAsiaTheme="majorEastAsia" w:hAnsi="Arial" w:cs="Arial"/>
          <w:sz w:val="21"/>
          <w:szCs w:val="21"/>
          <w:lang w:eastAsia="zh-CN"/>
        </w:rPr>
        <w:t xml:space="preserve">itanium dioxides: 1 – 5%; </w:t>
      </w:r>
    </w:p>
    <w:p w14:paraId="5EBD078E" w14:textId="29B8504B" w:rsidR="008F1851" w:rsidRDefault="008F1851" w:rsidP="00B03125">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Inorganic pigments: </w:t>
      </w:r>
      <w:r w:rsidR="00454F12">
        <w:rPr>
          <w:rFonts w:ascii="Arial" w:eastAsiaTheme="majorEastAsia" w:hAnsi="Arial" w:cs="Arial"/>
          <w:sz w:val="21"/>
          <w:szCs w:val="21"/>
          <w:lang w:eastAsia="zh-CN"/>
        </w:rPr>
        <w:t>5</w:t>
      </w:r>
      <w:r>
        <w:rPr>
          <w:rFonts w:ascii="Arial" w:eastAsiaTheme="majorEastAsia" w:hAnsi="Arial" w:cs="Arial"/>
          <w:sz w:val="21"/>
          <w:szCs w:val="21"/>
          <w:lang w:eastAsia="zh-CN"/>
        </w:rPr>
        <w:t>-</w:t>
      </w:r>
      <w:r w:rsidR="00454F12">
        <w:rPr>
          <w:rFonts w:ascii="Arial" w:eastAsiaTheme="majorEastAsia" w:hAnsi="Arial" w:cs="Arial"/>
          <w:sz w:val="21"/>
          <w:szCs w:val="21"/>
          <w:lang w:eastAsia="zh-CN"/>
        </w:rPr>
        <w:t>25</w:t>
      </w:r>
      <w:r>
        <w:rPr>
          <w:rFonts w:ascii="Arial" w:eastAsiaTheme="majorEastAsia" w:hAnsi="Arial" w:cs="Arial"/>
          <w:sz w:val="21"/>
          <w:szCs w:val="21"/>
          <w:lang w:eastAsia="zh-CN"/>
        </w:rPr>
        <w:t xml:space="preserve">%; </w:t>
      </w:r>
    </w:p>
    <w:p w14:paraId="1A878FBE" w14:textId="5A51944D" w:rsidR="004E40B8" w:rsidRPr="006F1D2E" w:rsidRDefault="006F1D2E" w:rsidP="006F1D2E">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2831FB2F" w14:textId="5DA23886" w:rsidR="00ED3631"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335F57FA" w14:textId="77777777" w:rsidR="004E40B8" w:rsidRPr="004E40B8" w:rsidRDefault="004E40B8" w:rsidP="004E40B8">
      <w:pPr>
        <w:spacing w:line="312" w:lineRule="auto"/>
        <w:rPr>
          <w:rFonts w:ascii="Arial" w:eastAsiaTheme="minorEastAsia" w:hAnsi="Arial" w:cs="Arial"/>
          <w:sz w:val="21"/>
          <w:szCs w:val="22"/>
          <w:lang w:eastAsia="zh-CN"/>
        </w:rPr>
      </w:pP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4E5B1987"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1E2A07">
        <w:rPr>
          <w:rFonts w:ascii="Arial" w:eastAsia="宋体" w:hAnsi="Arial" w:cs="Arial"/>
          <w:sz w:val="21"/>
          <w:szCs w:val="22"/>
          <w:lang w:eastAsia="zh-CN"/>
        </w:rPr>
        <w:t>know</w:t>
      </w:r>
      <w:proofErr w:type="spellEnd"/>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E6C7" w14:textId="77777777" w:rsidR="00824140" w:rsidRDefault="00824140" w:rsidP="00D67962">
      <w:r>
        <w:separator/>
      </w:r>
    </w:p>
  </w:endnote>
  <w:endnote w:type="continuationSeparator" w:id="0">
    <w:p w14:paraId="57EFC1F9" w14:textId="77777777" w:rsidR="00824140" w:rsidRDefault="00824140"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670A" w14:textId="77777777" w:rsidR="00824140" w:rsidRDefault="00824140" w:rsidP="00D67962">
      <w:r>
        <w:separator/>
      </w:r>
    </w:p>
  </w:footnote>
  <w:footnote w:type="continuationSeparator" w:id="0">
    <w:p w14:paraId="1AD7AD87" w14:textId="77777777" w:rsidR="00824140" w:rsidRDefault="00824140"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3CC1"/>
    <w:rsid w:val="00044D0F"/>
    <w:rsid w:val="00045AA7"/>
    <w:rsid w:val="0004703B"/>
    <w:rsid w:val="000542EA"/>
    <w:rsid w:val="00063029"/>
    <w:rsid w:val="000730CA"/>
    <w:rsid w:val="00085F2B"/>
    <w:rsid w:val="000872F4"/>
    <w:rsid w:val="00094A57"/>
    <w:rsid w:val="000A4C54"/>
    <w:rsid w:val="000E0A01"/>
    <w:rsid w:val="000E4765"/>
    <w:rsid w:val="000E6C20"/>
    <w:rsid w:val="00101AF7"/>
    <w:rsid w:val="00105DE9"/>
    <w:rsid w:val="00122A34"/>
    <w:rsid w:val="00127223"/>
    <w:rsid w:val="001609A4"/>
    <w:rsid w:val="00160D17"/>
    <w:rsid w:val="00182722"/>
    <w:rsid w:val="001A02D0"/>
    <w:rsid w:val="001A4F4F"/>
    <w:rsid w:val="001B6C7F"/>
    <w:rsid w:val="001C441C"/>
    <w:rsid w:val="001C7285"/>
    <w:rsid w:val="001D3213"/>
    <w:rsid w:val="001D3FAC"/>
    <w:rsid w:val="0020482B"/>
    <w:rsid w:val="002107AB"/>
    <w:rsid w:val="0021101E"/>
    <w:rsid w:val="0021371F"/>
    <w:rsid w:val="002176ED"/>
    <w:rsid w:val="00221A70"/>
    <w:rsid w:val="002264A7"/>
    <w:rsid w:val="00231BB0"/>
    <w:rsid w:val="0025500F"/>
    <w:rsid w:val="00270BA7"/>
    <w:rsid w:val="00271FDF"/>
    <w:rsid w:val="00276A9A"/>
    <w:rsid w:val="00276C4F"/>
    <w:rsid w:val="002A5CCC"/>
    <w:rsid w:val="002B6F13"/>
    <w:rsid w:val="002C6284"/>
    <w:rsid w:val="002D676D"/>
    <w:rsid w:val="002F4ABF"/>
    <w:rsid w:val="00300D00"/>
    <w:rsid w:val="0030597C"/>
    <w:rsid w:val="00333B25"/>
    <w:rsid w:val="003359F7"/>
    <w:rsid w:val="00373A3F"/>
    <w:rsid w:val="0037766C"/>
    <w:rsid w:val="00382D03"/>
    <w:rsid w:val="00384DCF"/>
    <w:rsid w:val="00385CE2"/>
    <w:rsid w:val="003922B1"/>
    <w:rsid w:val="003A16D0"/>
    <w:rsid w:val="003B267D"/>
    <w:rsid w:val="003C2ED6"/>
    <w:rsid w:val="003C41BE"/>
    <w:rsid w:val="003C457C"/>
    <w:rsid w:val="003C59D2"/>
    <w:rsid w:val="003D31C6"/>
    <w:rsid w:val="0040255A"/>
    <w:rsid w:val="00412FAE"/>
    <w:rsid w:val="00417575"/>
    <w:rsid w:val="00424323"/>
    <w:rsid w:val="004369D4"/>
    <w:rsid w:val="00436B43"/>
    <w:rsid w:val="0044524A"/>
    <w:rsid w:val="00454E3A"/>
    <w:rsid w:val="00454F12"/>
    <w:rsid w:val="00456A87"/>
    <w:rsid w:val="00457A83"/>
    <w:rsid w:val="004847AE"/>
    <w:rsid w:val="00494163"/>
    <w:rsid w:val="004960DB"/>
    <w:rsid w:val="004977A9"/>
    <w:rsid w:val="004A1610"/>
    <w:rsid w:val="004B4D7A"/>
    <w:rsid w:val="004D2009"/>
    <w:rsid w:val="004E14DC"/>
    <w:rsid w:val="004E40B8"/>
    <w:rsid w:val="004F18B7"/>
    <w:rsid w:val="004F3127"/>
    <w:rsid w:val="00511752"/>
    <w:rsid w:val="005349B1"/>
    <w:rsid w:val="0053681E"/>
    <w:rsid w:val="005556D2"/>
    <w:rsid w:val="00576426"/>
    <w:rsid w:val="00594ECE"/>
    <w:rsid w:val="005B567B"/>
    <w:rsid w:val="005C288F"/>
    <w:rsid w:val="005C2B6F"/>
    <w:rsid w:val="005D1362"/>
    <w:rsid w:val="00610704"/>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1D2E"/>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79A1"/>
    <w:rsid w:val="007E280F"/>
    <w:rsid w:val="007E58EA"/>
    <w:rsid w:val="007F381B"/>
    <w:rsid w:val="00806967"/>
    <w:rsid w:val="00810332"/>
    <w:rsid w:val="008135B7"/>
    <w:rsid w:val="0082166E"/>
    <w:rsid w:val="00823B3F"/>
    <w:rsid w:val="00824140"/>
    <w:rsid w:val="00831361"/>
    <w:rsid w:val="0084354B"/>
    <w:rsid w:val="00852B13"/>
    <w:rsid w:val="00874152"/>
    <w:rsid w:val="008A39BD"/>
    <w:rsid w:val="008A6F3E"/>
    <w:rsid w:val="008B043F"/>
    <w:rsid w:val="008B68B5"/>
    <w:rsid w:val="008C4875"/>
    <w:rsid w:val="008D7501"/>
    <w:rsid w:val="008E0278"/>
    <w:rsid w:val="008E4C47"/>
    <w:rsid w:val="008F1851"/>
    <w:rsid w:val="008F3A20"/>
    <w:rsid w:val="00902362"/>
    <w:rsid w:val="00912B8E"/>
    <w:rsid w:val="0091364B"/>
    <w:rsid w:val="0092000E"/>
    <w:rsid w:val="009328E0"/>
    <w:rsid w:val="00936D82"/>
    <w:rsid w:val="00940C44"/>
    <w:rsid w:val="009551B8"/>
    <w:rsid w:val="00957A39"/>
    <w:rsid w:val="00972DB9"/>
    <w:rsid w:val="009801A1"/>
    <w:rsid w:val="009B1A8F"/>
    <w:rsid w:val="009D07EC"/>
    <w:rsid w:val="009D1DF0"/>
    <w:rsid w:val="009D247F"/>
    <w:rsid w:val="009D40AF"/>
    <w:rsid w:val="009D4350"/>
    <w:rsid w:val="009E30E3"/>
    <w:rsid w:val="009E57D6"/>
    <w:rsid w:val="009F21E2"/>
    <w:rsid w:val="009F6278"/>
    <w:rsid w:val="00A027A6"/>
    <w:rsid w:val="00A10F2F"/>
    <w:rsid w:val="00A11AD5"/>
    <w:rsid w:val="00A24C73"/>
    <w:rsid w:val="00A27069"/>
    <w:rsid w:val="00A34278"/>
    <w:rsid w:val="00A47075"/>
    <w:rsid w:val="00A505C5"/>
    <w:rsid w:val="00A50C2C"/>
    <w:rsid w:val="00A52A99"/>
    <w:rsid w:val="00A55770"/>
    <w:rsid w:val="00A773AA"/>
    <w:rsid w:val="00A7762C"/>
    <w:rsid w:val="00A83704"/>
    <w:rsid w:val="00A910B4"/>
    <w:rsid w:val="00A950A0"/>
    <w:rsid w:val="00AB53AB"/>
    <w:rsid w:val="00AB6C59"/>
    <w:rsid w:val="00AC604B"/>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723F7"/>
    <w:rsid w:val="00BA043D"/>
    <w:rsid w:val="00BA0C54"/>
    <w:rsid w:val="00BA24A0"/>
    <w:rsid w:val="00BB3745"/>
    <w:rsid w:val="00BB42AE"/>
    <w:rsid w:val="00BB686D"/>
    <w:rsid w:val="00BC0650"/>
    <w:rsid w:val="00BC1B14"/>
    <w:rsid w:val="00BE1693"/>
    <w:rsid w:val="00BF3824"/>
    <w:rsid w:val="00BF3C40"/>
    <w:rsid w:val="00C10177"/>
    <w:rsid w:val="00C17EE0"/>
    <w:rsid w:val="00C40813"/>
    <w:rsid w:val="00C471E6"/>
    <w:rsid w:val="00C60DA6"/>
    <w:rsid w:val="00C64E0F"/>
    <w:rsid w:val="00C73441"/>
    <w:rsid w:val="00C96952"/>
    <w:rsid w:val="00C97E03"/>
    <w:rsid w:val="00CA64D5"/>
    <w:rsid w:val="00CB3B7B"/>
    <w:rsid w:val="00CD02C9"/>
    <w:rsid w:val="00CF6E4E"/>
    <w:rsid w:val="00D063DF"/>
    <w:rsid w:val="00D146AE"/>
    <w:rsid w:val="00D22ACD"/>
    <w:rsid w:val="00D245A9"/>
    <w:rsid w:val="00D27E27"/>
    <w:rsid w:val="00D43830"/>
    <w:rsid w:val="00D56D44"/>
    <w:rsid w:val="00D67962"/>
    <w:rsid w:val="00D869E0"/>
    <w:rsid w:val="00DA116D"/>
    <w:rsid w:val="00DB02EC"/>
    <w:rsid w:val="00DB0381"/>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86BEE"/>
    <w:rsid w:val="00EA307C"/>
    <w:rsid w:val="00EC05B6"/>
    <w:rsid w:val="00EC096A"/>
    <w:rsid w:val="00EC7367"/>
    <w:rsid w:val="00ED3631"/>
    <w:rsid w:val="00EE1A20"/>
    <w:rsid w:val="00F34352"/>
    <w:rsid w:val="00F5026E"/>
    <w:rsid w:val="00F56C21"/>
    <w:rsid w:val="00F61270"/>
    <w:rsid w:val="00F7615B"/>
    <w:rsid w:val="00F9295B"/>
    <w:rsid w:val="00F962B8"/>
    <w:rsid w:val="00FE0824"/>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F12"/>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4</cp:revision>
  <cp:lastPrinted>2022-06-27T05:07:00Z</cp:lastPrinted>
  <dcterms:created xsi:type="dcterms:W3CDTF">2022-10-17T05:21:00Z</dcterms:created>
  <dcterms:modified xsi:type="dcterms:W3CDTF">2023-05-24T02:35:00Z</dcterms:modified>
</cp:coreProperties>
</file>