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D24" w14:textId="0CF9C863" w:rsidR="00E85AF0" w:rsidRPr="00814B7D" w:rsidRDefault="00513926" w:rsidP="00C6329F">
      <w:pPr>
        <w:pStyle w:val="ProductName"/>
        <w:tabs>
          <w:tab w:val="left" w:pos="93"/>
        </w:tabs>
        <w:spacing w:beforeLines="30" w:before="97" w:line="276" w:lineRule="auto"/>
        <w:jc w:val="center"/>
        <w:rPr>
          <w:rFonts w:ascii="Arial" w:hAnsi="Arial" w:cs="Arial"/>
          <w:b/>
          <w:sz w:val="30"/>
          <w:szCs w:val="30"/>
          <w:lang w:eastAsia="zh-TW"/>
        </w:rPr>
      </w:pPr>
      <w:r>
        <w:rPr>
          <w:rFonts w:ascii="Arial" w:eastAsia="宋体" w:hAnsi="Arial" w:cs="Arial" w:hint="eastAsia"/>
          <w:b/>
          <w:sz w:val="30"/>
          <w:szCs w:val="30"/>
          <w:lang w:eastAsia="zh-CN"/>
        </w:rPr>
        <w:t>Coadd</w:t>
      </w:r>
      <w:r>
        <w:rPr>
          <w:rFonts w:ascii="Arial" w:eastAsia="宋体" w:hAnsi="Arial" w:cs="Arial" w:hint="eastAsia"/>
          <w:b/>
          <w:sz w:val="30"/>
          <w:szCs w:val="30"/>
          <w:lang w:eastAsia="zh-CN"/>
        </w:rPr>
        <w:t>™</w:t>
      </w:r>
      <w:r>
        <w:rPr>
          <w:rFonts w:ascii="Arial" w:eastAsia="宋体" w:hAnsi="Arial" w:cs="Arial" w:hint="eastAsia"/>
          <w:b/>
          <w:sz w:val="30"/>
          <w:szCs w:val="30"/>
          <w:lang w:eastAsia="zh-CN"/>
        </w:rPr>
        <w:t xml:space="preserve"> D-6636</w:t>
      </w:r>
    </w:p>
    <w:p w14:paraId="7959EB0F" w14:textId="73E88198" w:rsidR="00E37A41" w:rsidRPr="00CA5EB6" w:rsidRDefault="00C07FEE" w:rsidP="00C6329F">
      <w:pPr>
        <w:spacing w:line="276" w:lineRule="auto"/>
        <w:jc w:val="center"/>
        <w:rPr>
          <w:rFonts w:ascii="Arial" w:eastAsia="宋体" w:hAnsi="Arial" w:cs="Arial"/>
          <w:sz w:val="21"/>
          <w:szCs w:val="21"/>
          <w:lang w:eastAsia="zh-CN"/>
        </w:rPr>
      </w:pPr>
      <w:r>
        <w:rPr>
          <w:rFonts w:ascii="Arial" w:eastAsia="宋体" w:hAnsi="Arial" w:cs="Arial"/>
          <w:sz w:val="21"/>
          <w:szCs w:val="21"/>
          <w:lang w:eastAsia="zh-CN"/>
        </w:rPr>
        <w:t>Dispersant</w:t>
      </w:r>
    </w:p>
    <w:p w14:paraId="099BA2DA" w14:textId="77777777" w:rsidR="00E85AF0" w:rsidRPr="003B593A" w:rsidRDefault="008A704F" w:rsidP="00C6329F">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429C2167" w:rsidR="003E79A9" w:rsidRPr="00DF449A" w:rsidRDefault="00513926" w:rsidP="00C6329F">
      <w:pPr>
        <w:spacing w:line="276" w:lineRule="auto"/>
        <w:ind w:left="2"/>
        <w:jc w:val="both"/>
        <w:rPr>
          <w:rFonts w:ascii="Arial" w:eastAsiaTheme="minorEastAsia" w:hAnsi="Arial" w:cs="Arial"/>
          <w:sz w:val="21"/>
          <w:szCs w:val="21"/>
          <w:lang w:eastAsia="zh-CN"/>
        </w:rPr>
      </w:pPr>
      <w:r w:rsidRPr="00513926">
        <w:rPr>
          <w:rFonts w:ascii="Arial" w:eastAsiaTheme="minorEastAsia" w:hAnsi="Arial" w:cs="Arial"/>
          <w:b/>
          <w:sz w:val="21"/>
          <w:szCs w:val="21"/>
          <w:lang w:eastAsia="zh-CN"/>
        </w:rPr>
        <w:t>Coadd™ D-6636</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w:t>
      </w:r>
      <w:r w:rsidR="002F4CA6" w:rsidRPr="002F4CA6">
        <w:rPr>
          <w:rFonts w:ascii="Arial" w:eastAsiaTheme="minorEastAsia" w:hAnsi="Arial" w:cs="Arial"/>
          <w:sz w:val="21"/>
          <w:szCs w:val="21"/>
          <w:lang w:eastAsia="zh-CN"/>
        </w:rPr>
        <w:t xml:space="preserve">a </w:t>
      </w:r>
      <w:r w:rsidR="00C07FEE">
        <w:rPr>
          <w:rFonts w:ascii="Arial" w:eastAsiaTheme="minorEastAsia" w:hAnsi="Arial" w:cs="Arial"/>
          <w:sz w:val="21"/>
          <w:szCs w:val="21"/>
          <w:lang w:eastAsia="zh-CN"/>
        </w:rPr>
        <w:t xml:space="preserve">solution of phosphoric acid ester, and is </w:t>
      </w:r>
      <w:r w:rsidR="00C6329F">
        <w:rPr>
          <w:rFonts w:ascii="Arial" w:eastAsiaTheme="minorEastAsia" w:hAnsi="Arial" w:cs="Arial" w:hint="eastAsia"/>
          <w:sz w:val="21"/>
          <w:szCs w:val="21"/>
          <w:lang w:eastAsia="zh-CN"/>
        </w:rPr>
        <w:t>suitable</w:t>
      </w:r>
      <w:r w:rsidR="00C07FEE">
        <w:rPr>
          <w:rFonts w:ascii="Arial" w:eastAsiaTheme="minorEastAsia" w:hAnsi="Arial" w:cs="Arial"/>
          <w:sz w:val="21"/>
          <w:szCs w:val="21"/>
          <w:lang w:eastAsia="zh-CN"/>
        </w:rPr>
        <w:t xml:space="preserve"> for water-borne and solvent-borne</w:t>
      </w:r>
      <w:r w:rsidR="00F939DA">
        <w:rPr>
          <w:rFonts w:ascii="Arial" w:eastAsiaTheme="minorEastAsia" w:hAnsi="Arial" w:cs="Arial" w:hint="eastAsia"/>
          <w:sz w:val="21"/>
          <w:szCs w:val="21"/>
          <w:lang w:eastAsia="zh-CN"/>
        </w:rPr>
        <w:t xml:space="preserve"> </w:t>
      </w:r>
      <w:r w:rsidR="00C6329F">
        <w:rPr>
          <w:rFonts w:ascii="Arial" w:eastAsiaTheme="minorEastAsia" w:hAnsi="Arial" w:cs="Arial" w:hint="eastAsia"/>
          <w:sz w:val="21"/>
          <w:szCs w:val="21"/>
          <w:lang w:eastAsia="zh-CN"/>
        </w:rPr>
        <w:t>compatible colorants application. The product has excellent compatibility and color strength performance, good viscosity reduction for both organic and inorganic pigments. It also has good gloss performance, can effectively reduce the solvent in formulation, reduce VOCs.</w:t>
      </w:r>
    </w:p>
    <w:p w14:paraId="58C6C21B" w14:textId="77777777" w:rsidR="00E85AF0" w:rsidRPr="003B593A" w:rsidRDefault="00336E9D" w:rsidP="00C6329F">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C6329F">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7B4EF72F" w:rsidR="000542EA" w:rsidRPr="003B593A" w:rsidRDefault="00C07FEE" w:rsidP="00C6329F">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Colorless to light yellow liquid</w:t>
            </w:r>
          </w:p>
        </w:tc>
      </w:tr>
      <w:tr w:rsidR="000542EA" w:rsidRPr="003B593A" w14:paraId="332C94A4" w14:textId="77777777" w:rsidTr="00171BF8">
        <w:trPr>
          <w:jc w:val="center"/>
        </w:trPr>
        <w:tc>
          <w:tcPr>
            <w:tcW w:w="4021" w:type="dxa"/>
          </w:tcPr>
          <w:p w14:paraId="22AC4DF5" w14:textId="77777777" w:rsidR="000542EA" w:rsidRPr="003B593A" w:rsidRDefault="00336E9D" w:rsidP="00C6329F">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4EAEDC97" w:rsidR="000542EA" w:rsidRPr="003B593A" w:rsidRDefault="005E2BF7" w:rsidP="00C6329F">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4753DF">
              <w:rPr>
                <w:rFonts w:ascii="Arial" w:eastAsiaTheme="minorEastAsia" w:hAnsi="Arial" w:cs="Arial"/>
                <w:sz w:val="21"/>
                <w:szCs w:val="21"/>
                <w:lang w:eastAsia="zh-CN"/>
              </w:rPr>
              <w:t>9</w:t>
            </w:r>
          </w:p>
        </w:tc>
      </w:tr>
      <w:tr w:rsidR="005E2BF7" w:rsidRPr="003B593A" w14:paraId="4DA4ADDD" w14:textId="77777777" w:rsidTr="00171BF8">
        <w:trPr>
          <w:jc w:val="center"/>
        </w:trPr>
        <w:tc>
          <w:tcPr>
            <w:tcW w:w="4021" w:type="dxa"/>
          </w:tcPr>
          <w:p w14:paraId="504F2727" w14:textId="5267559F" w:rsidR="005E2BF7" w:rsidRPr="003B593A" w:rsidRDefault="00814B7D" w:rsidP="00C6329F">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69E1C842" w:rsidR="005E2BF7" w:rsidRDefault="00B86776" w:rsidP="00C6329F">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42</w:t>
            </w:r>
          </w:p>
        </w:tc>
      </w:tr>
    </w:tbl>
    <w:p w14:paraId="7D769430" w14:textId="409778BB" w:rsidR="003E79A9" w:rsidRPr="003B593A" w:rsidRDefault="00336E9D" w:rsidP="00C6329F">
      <w:pPr>
        <w:spacing w:line="276"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C6329F">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22AD81D6" w:rsidR="00BC0650" w:rsidRDefault="00513926" w:rsidP="00C6329F">
      <w:pPr>
        <w:spacing w:line="276" w:lineRule="auto"/>
        <w:jc w:val="both"/>
        <w:rPr>
          <w:rFonts w:ascii="Arial" w:eastAsiaTheme="minorEastAsia" w:hAnsi="Arial" w:cs="Arial"/>
          <w:sz w:val="21"/>
          <w:szCs w:val="21"/>
          <w:lang w:eastAsia="zh-CN"/>
        </w:rPr>
      </w:pPr>
      <w:r w:rsidRPr="00513926">
        <w:rPr>
          <w:rFonts w:ascii="Arial" w:eastAsiaTheme="minorEastAsia" w:hAnsi="Arial" w:cs="Arial"/>
          <w:b/>
          <w:sz w:val="21"/>
          <w:szCs w:val="21"/>
          <w:lang w:eastAsia="zh-CN"/>
        </w:rPr>
        <w:t>Coadd™ D-6636</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is</w:t>
      </w:r>
      <w:r w:rsidR="0009641F">
        <w:rPr>
          <w:rFonts w:ascii="Arial" w:eastAsiaTheme="minorEastAsia" w:hAnsi="Arial" w:cs="Arial"/>
          <w:sz w:val="21"/>
          <w:szCs w:val="21"/>
          <w:lang w:eastAsia="zh-CN"/>
        </w:rPr>
        <w:t xml:space="preserve"> </w:t>
      </w:r>
      <w:r w:rsidR="00C6329F">
        <w:rPr>
          <w:rFonts w:ascii="Arial" w:eastAsiaTheme="minorEastAsia" w:hAnsi="Arial" w:cs="Arial" w:hint="eastAsia"/>
          <w:sz w:val="21"/>
          <w:szCs w:val="21"/>
          <w:lang w:eastAsia="zh-CN"/>
        </w:rPr>
        <w:t>recommended for solvent-borne and water-borne printing inks, architecture, industrial and other applications. It as excellent viscosity reduction for both organic and inorganic pigments. Good compatibility in acrylic, alkyd, polyether and epoxy resin systems.</w:t>
      </w:r>
    </w:p>
    <w:p w14:paraId="47807AC4" w14:textId="00C78B7A" w:rsidR="00DF449A" w:rsidRDefault="00DF449A" w:rsidP="00C6329F">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(base</w:t>
      </w:r>
      <w:r w:rsidR="002F4CA6">
        <w:rPr>
          <w:rFonts w:ascii="Arial" w:eastAsiaTheme="minorEastAsia" w:hAnsi="Arial" w:cs="Arial"/>
          <w:sz w:val="21"/>
          <w:szCs w:val="21"/>
          <w:lang w:eastAsia="zh-CN"/>
        </w:rPr>
        <w:t>d</w:t>
      </w:r>
      <w:r>
        <w:rPr>
          <w:rFonts w:ascii="Arial" w:eastAsiaTheme="minorEastAsia" w:hAnsi="Arial" w:cs="Arial"/>
          <w:sz w:val="21"/>
          <w:szCs w:val="21"/>
          <w:lang w:eastAsia="zh-CN"/>
        </w:rPr>
        <w:t xml:space="preserve"> on the </w:t>
      </w:r>
      <w:r w:rsidR="0009641F">
        <w:rPr>
          <w:rFonts w:ascii="Arial" w:eastAsiaTheme="minorEastAsia" w:hAnsi="Arial" w:cs="Arial"/>
          <w:sz w:val="21"/>
          <w:szCs w:val="21"/>
          <w:lang w:eastAsia="zh-CN"/>
        </w:rPr>
        <w:t>pigment volume</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p>
    <w:p w14:paraId="67228656" w14:textId="500FAE5A" w:rsidR="00400FA9" w:rsidRDefault="00C6329F" w:rsidP="00C6329F">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 xml:space="preserve">WB colorant: Titanium oxide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2.5-5%; Inorganic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5-15%; Organic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25-50%; Carbon black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25-45%</w:t>
      </w:r>
    </w:p>
    <w:p w14:paraId="20CA732A" w14:textId="4130D208" w:rsidR="00C6329F" w:rsidRPr="00C6329F" w:rsidRDefault="00C6329F" w:rsidP="00C6329F">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 xml:space="preserve">WB &amp; SB compatible colorant: Titanium oxide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8-15%; Inorganic pigment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10-20%; Organic pigment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25-50%; Carbon black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40-55%</w:t>
      </w:r>
    </w:p>
    <w:p w14:paraId="75FB2948" w14:textId="08F644C4" w:rsidR="00DF449A" w:rsidRPr="00DF449A" w:rsidRDefault="001D53AB" w:rsidP="00C6329F">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w:t>
      </w:r>
      <w:r w:rsidR="00C6329F">
        <w:rPr>
          <w:rFonts w:ascii="Arial" w:eastAsiaTheme="minorEastAsia" w:hAnsi="Arial" w:cs="Arial" w:hint="eastAsia"/>
          <w:sz w:val="21"/>
          <w:szCs w:val="21"/>
          <w:lang w:eastAsia="zh-CN"/>
        </w:rPr>
        <w:t>s</w:t>
      </w:r>
      <w:r>
        <w:rPr>
          <w:rFonts w:ascii="Arial" w:eastAsiaTheme="minorEastAsia" w:hAnsi="Arial" w:cs="Arial"/>
          <w:sz w:val="21"/>
          <w:szCs w:val="21"/>
          <w:lang w:eastAsia="zh-CN"/>
        </w:rPr>
        <w:t xml:space="preserve"> are only for orientation, optimum level of dosage should be determined via laboratory tests.</w:t>
      </w:r>
    </w:p>
    <w:p w14:paraId="1CBAB742" w14:textId="77777777" w:rsidR="000A0B9D" w:rsidRPr="00CA5CAF" w:rsidRDefault="000A0B9D" w:rsidP="00C6329F">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C6329F">
      <w:pPr>
        <w:spacing w:line="276" w:lineRule="auto"/>
        <w:jc w:val="both"/>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C6329F">
      <w:pPr>
        <w:spacing w:line="276"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C6329F">
      <w:pPr>
        <w:spacing w:afterLines="30" w:after="97" w:line="276"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C6329F">
      <w:pPr>
        <w:spacing w:line="276"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821C29">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B22CC" w14:textId="77777777" w:rsidR="00D63FE4" w:rsidRDefault="00D63FE4" w:rsidP="00D67962">
      <w:r>
        <w:separator/>
      </w:r>
    </w:p>
  </w:endnote>
  <w:endnote w:type="continuationSeparator" w:id="0">
    <w:p w14:paraId="15D94DA8" w14:textId="77777777" w:rsidR="00D63FE4" w:rsidRDefault="00D63FE4"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383A" w14:textId="77777777" w:rsidR="00D63FE4" w:rsidRDefault="00D63FE4" w:rsidP="00D67962">
      <w:r>
        <w:separator/>
      </w:r>
    </w:p>
  </w:footnote>
  <w:footnote w:type="continuationSeparator" w:id="0">
    <w:p w14:paraId="5F16A17E" w14:textId="77777777" w:rsidR="00D63FE4" w:rsidRDefault="00D63FE4"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9641F"/>
    <w:rsid w:val="000A0B9D"/>
    <w:rsid w:val="000E7BE1"/>
    <w:rsid w:val="00115A9B"/>
    <w:rsid w:val="00122A34"/>
    <w:rsid w:val="00125C97"/>
    <w:rsid w:val="001449E6"/>
    <w:rsid w:val="00144B2E"/>
    <w:rsid w:val="00156A24"/>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2F4CA6"/>
    <w:rsid w:val="00312A86"/>
    <w:rsid w:val="003254C9"/>
    <w:rsid w:val="00332C2C"/>
    <w:rsid w:val="00336E9D"/>
    <w:rsid w:val="00366616"/>
    <w:rsid w:val="0037766C"/>
    <w:rsid w:val="003A498F"/>
    <w:rsid w:val="003B593A"/>
    <w:rsid w:val="003E79A9"/>
    <w:rsid w:val="00400FA9"/>
    <w:rsid w:val="0040255A"/>
    <w:rsid w:val="00412FAE"/>
    <w:rsid w:val="0042654D"/>
    <w:rsid w:val="0042792F"/>
    <w:rsid w:val="00431400"/>
    <w:rsid w:val="00456833"/>
    <w:rsid w:val="0046076A"/>
    <w:rsid w:val="00470940"/>
    <w:rsid w:val="0047123E"/>
    <w:rsid w:val="0047165E"/>
    <w:rsid w:val="004753DF"/>
    <w:rsid w:val="004847AE"/>
    <w:rsid w:val="00493494"/>
    <w:rsid w:val="004A0E6C"/>
    <w:rsid w:val="004A7EBF"/>
    <w:rsid w:val="004B2681"/>
    <w:rsid w:val="004C7A34"/>
    <w:rsid w:val="0050017B"/>
    <w:rsid w:val="00513926"/>
    <w:rsid w:val="00521EFB"/>
    <w:rsid w:val="00551228"/>
    <w:rsid w:val="00570F4C"/>
    <w:rsid w:val="00593951"/>
    <w:rsid w:val="005E2BF7"/>
    <w:rsid w:val="005E3243"/>
    <w:rsid w:val="005F0E0E"/>
    <w:rsid w:val="00610704"/>
    <w:rsid w:val="00616751"/>
    <w:rsid w:val="00624C92"/>
    <w:rsid w:val="006272C1"/>
    <w:rsid w:val="00640E62"/>
    <w:rsid w:val="006520FB"/>
    <w:rsid w:val="00653374"/>
    <w:rsid w:val="006637FD"/>
    <w:rsid w:val="006A02E8"/>
    <w:rsid w:val="006A2387"/>
    <w:rsid w:val="006B49BB"/>
    <w:rsid w:val="006C4E3E"/>
    <w:rsid w:val="006E780B"/>
    <w:rsid w:val="007246B0"/>
    <w:rsid w:val="00724F14"/>
    <w:rsid w:val="00776107"/>
    <w:rsid w:val="00790B82"/>
    <w:rsid w:val="007A6D68"/>
    <w:rsid w:val="007E62D4"/>
    <w:rsid w:val="007F381B"/>
    <w:rsid w:val="00806397"/>
    <w:rsid w:val="00814B7D"/>
    <w:rsid w:val="00821C29"/>
    <w:rsid w:val="008A233C"/>
    <w:rsid w:val="008A5C24"/>
    <w:rsid w:val="008A6F3E"/>
    <w:rsid w:val="008A704F"/>
    <w:rsid w:val="008D46A8"/>
    <w:rsid w:val="008E273E"/>
    <w:rsid w:val="008E7636"/>
    <w:rsid w:val="008F4FFD"/>
    <w:rsid w:val="00917E90"/>
    <w:rsid w:val="009400E3"/>
    <w:rsid w:val="009551D7"/>
    <w:rsid w:val="00977EB8"/>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86776"/>
    <w:rsid w:val="00BA0C54"/>
    <w:rsid w:val="00BB6B6E"/>
    <w:rsid w:val="00BC0650"/>
    <w:rsid w:val="00BD150F"/>
    <w:rsid w:val="00BD72D1"/>
    <w:rsid w:val="00BE3F44"/>
    <w:rsid w:val="00C028CE"/>
    <w:rsid w:val="00C07827"/>
    <w:rsid w:val="00C07FEE"/>
    <w:rsid w:val="00C31DF3"/>
    <w:rsid w:val="00C353AF"/>
    <w:rsid w:val="00C45FAB"/>
    <w:rsid w:val="00C6329F"/>
    <w:rsid w:val="00C83EEA"/>
    <w:rsid w:val="00CA5CAF"/>
    <w:rsid w:val="00CA5EB6"/>
    <w:rsid w:val="00CB2E7D"/>
    <w:rsid w:val="00CC0AAD"/>
    <w:rsid w:val="00CE455C"/>
    <w:rsid w:val="00D079B8"/>
    <w:rsid w:val="00D254F8"/>
    <w:rsid w:val="00D26FD1"/>
    <w:rsid w:val="00D63FE4"/>
    <w:rsid w:val="00D67962"/>
    <w:rsid w:val="00D714A8"/>
    <w:rsid w:val="00D913E6"/>
    <w:rsid w:val="00DD5659"/>
    <w:rsid w:val="00DF449A"/>
    <w:rsid w:val="00E12753"/>
    <w:rsid w:val="00E3048C"/>
    <w:rsid w:val="00E37A41"/>
    <w:rsid w:val="00E438DD"/>
    <w:rsid w:val="00E555FC"/>
    <w:rsid w:val="00E665DC"/>
    <w:rsid w:val="00E85AF0"/>
    <w:rsid w:val="00E93C29"/>
    <w:rsid w:val="00EB3358"/>
    <w:rsid w:val="00EC0629"/>
    <w:rsid w:val="00EF5995"/>
    <w:rsid w:val="00EF64D5"/>
    <w:rsid w:val="00F115D6"/>
    <w:rsid w:val="00F568DF"/>
    <w:rsid w:val="00F770A9"/>
    <w:rsid w:val="00F939DA"/>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0</DocSecurity>
  <Lines>13</Lines>
  <Paragraphs>3</Paragraphs>
  <ScaleCrop>false</ScaleCrop>
  <Company>Microsoft</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office</cp:lastModifiedBy>
  <cp:revision>2</cp:revision>
  <cp:lastPrinted>2022-11-03T05:41:00Z</cp:lastPrinted>
  <dcterms:created xsi:type="dcterms:W3CDTF">2025-04-25T06:03:00Z</dcterms:created>
  <dcterms:modified xsi:type="dcterms:W3CDTF">2025-04-25T06:03:00Z</dcterms:modified>
</cp:coreProperties>
</file>