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5D24" w14:textId="64E34102" w:rsidR="00E85AF0" w:rsidRPr="00814B7D" w:rsidRDefault="00E85AF0" w:rsidP="00F747CE">
      <w:pPr>
        <w:pStyle w:val="ProductName"/>
        <w:tabs>
          <w:tab w:val="left" w:pos="93"/>
        </w:tabs>
        <w:spacing w:beforeLines="30" w:before="97" w:line="300"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6708E6">
        <w:rPr>
          <w:rFonts w:ascii="Arial" w:eastAsia="宋体" w:hAnsi="Arial" w:cs="Arial" w:hint="eastAsia"/>
          <w:b/>
          <w:sz w:val="30"/>
          <w:szCs w:val="30"/>
          <w:lang w:eastAsia="zh-CN"/>
        </w:rPr>
        <w:t>D-</w:t>
      </w:r>
      <w:r w:rsidR="00E511A3">
        <w:rPr>
          <w:rFonts w:ascii="Arial" w:eastAsia="宋体" w:hAnsi="Arial" w:cs="Arial" w:hint="eastAsia"/>
          <w:b/>
          <w:sz w:val="30"/>
          <w:szCs w:val="30"/>
          <w:lang w:eastAsia="zh-CN"/>
        </w:rPr>
        <w:t>6760</w:t>
      </w:r>
    </w:p>
    <w:p w14:paraId="7959EB0F" w14:textId="12F79BFF" w:rsidR="00E37A41" w:rsidRPr="008912AA" w:rsidRDefault="006708E6" w:rsidP="00F747CE">
      <w:pPr>
        <w:spacing w:line="300" w:lineRule="auto"/>
        <w:jc w:val="center"/>
        <w:rPr>
          <w:rFonts w:ascii="Arial" w:eastAsia="宋体" w:hAnsi="Arial" w:cs="Arial"/>
          <w:lang w:eastAsia="zh-CN"/>
        </w:rPr>
      </w:pPr>
      <w:r w:rsidRPr="008912AA">
        <w:rPr>
          <w:rFonts w:ascii="Arial" w:eastAsia="宋体" w:hAnsi="Arial" w:cs="Arial" w:hint="eastAsia"/>
          <w:lang w:eastAsia="zh-CN"/>
        </w:rPr>
        <w:t>Dispersant</w:t>
      </w:r>
    </w:p>
    <w:p w14:paraId="099BA2DA" w14:textId="77777777" w:rsidR="00E85AF0" w:rsidRPr="003B593A" w:rsidRDefault="008A704F" w:rsidP="00F747CE">
      <w:pPr>
        <w:spacing w:line="300"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5F1801EC" w:rsidR="003E79A9" w:rsidRPr="00DF449A" w:rsidRDefault="00E85AF0" w:rsidP="00F747CE">
      <w:pPr>
        <w:spacing w:line="300"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6708E6">
        <w:rPr>
          <w:rFonts w:ascii="Arial" w:eastAsiaTheme="minorEastAsia" w:hAnsi="Arial" w:cs="Arial" w:hint="eastAsia"/>
          <w:b/>
          <w:sz w:val="21"/>
          <w:szCs w:val="21"/>
          <w:lang w:eastAsia="zh-CN"/>
        </w:rPr>
        <w:t>D-</w:t>
      </w:r>
      <w:r w:rsidR="00E511A3">
        <w:rPr>
          <w:rFonts w:ascii="Arial" w:eastAsiaTheme="minorEastAsia" w:hAnsi="Arial" w:cs="Arial" w:hint="eastAsia"/>
          <w:b/>
          <w:sz w:val="21"/>
          <w:szCs w:val="21"/>
          <w:lang w:eastAsia="zh-CN"/>
        </w:rPr>
        <w:t>6760</w:t>
      </w:r>
      <w:r w:rsidR="00171BF8">
        <w:rPr>
          <w:rFonts w:ascii="Arial" w:eastAsiaTheme="minorEastAsia" w:hAnsi="Arial" w:cs="Arial"/>
          <w:sz w:val="21"/>
          <w:szCs w:val="21"/>
          <w:lang w:eastAsia="zh-CN"/>
        </w:rPr>
        <w:t xml:space="preserve"> </w:t>
      </w:r>
      <w:r w:rsidR="006708E6" w:rsidRPr="006708E6">
        <w:rPr>
          <w:rFonts w:ascii="Arial" w:eastAsiaTheme="minorEastAsia" w:hAnsi="Arial" w:cs="Arial"/>
          <w:sz w:val="21"/>
          <w:szCs w:val="21"/>
          <w:lang w:eastAsia="zh-CN"/>
        </w:rPr>
        <w:t>is a polymeric wetting and dispersing agent, rich in pigment anchoring groups, which provides strong affinity with pigments. It is versatile for both inorganic and organic pigments, particularly excelling in resin-containing grinding systems by offering excellent viscosity reduction, stabilization, and color development. Additionally, it demonstrates outstanding compatibility with various resin systems and can also be used in resin-free grinding systems. It is widely applicable in water</w:t>
      </w:r>
      <w:r w:rsidR="006708E6">
        <w:rPr>
          <w:rFonts w:ascii="Arial" w:eastAsiaTheme="minorEastAsia" w:hAnsi="Arial" w:cs="Arial" w:hint="eastAsia"/>
          <w:sz w:val="21"/>
          <w:szCs w:val="21"/>
          <w:lang w:eastAsia="zh-CN"/>
        </w:rPr>
        <w:t>-</w:t>
      </w:r>
      <w:r w:rsidR="006708E6" w:rsidRPr="006708E6">
        <w:rPr>
          <w:rFonts w:ascii="Arial" w:eastAsiaTheme="minorEastAsia" w:hAnsi="Arial" w:cs="Arial"/>
          <w:sz w:val="21"/>
          <w:szCs w:val="21"/>
          <w:lang w:eastAsia="zh-CN"/>
        </w:rPr>
        <w:t>borne industrial coatings, water-based inks, and architectural coating systems for pigment dispersion.</w:t>
      </w:r>
    </w:p>
    <w:p w14:paraId="58C6C21B" w14:textId="77777777" w:rsidR="00E85AF0" w:rsidRPr="003B593A" w:rsidRDefault="00336E9D" w:rsidP="00F747CE">
      <w:pPr>
        <w:spacing w:line="300"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F747CE">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6F035743" w:rsidR="000542EA" w:rsidRPr="003B593A" w:rsidRDefault="006708E6" w:rsidP="00F747CE">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Light yellow to yellow liquid</w:t>
            </w:r>
          </w:p>
        </w:tc>
      </w:tr>
      <w:tr w:rsidR="000542EA" w:rsidRPr="003B593A" w14:paraId="332C94A4" w14:textId="77777777" w:rsidTr="00171BF8">
        <w:trPr>
          <w:jc w:val="center"/>
        </w:trPr>
        <w:tc>
          <w:tcPr>
            <w:tcW w:w="4021" w:type="dxa"/>
          </w:tcPr>
          <w:p w14:paraId="22AC4DF5" w14:textId="77777777" w:rsidR="000542EA" w:rsidRPr="003B593A" w:rsidRDefault="00336E9D" w:rsidP="00F747CE">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43F087EE" w:rsidR="000542EA" w:rsidRPr="006708E6" w:rsidRDefault="006708E6" w:rsidP="00F747CE">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1.0</w:t>
            </w:r>
            <w:r w:rsidR="002F7679">
              <w:rPr>
                <w:rFonts w:ascii="Arial" w:eastAsiaTheme="minorEastAsia" w:hAnsi="Arial" w:cs="Arial" w:hint="eastAsia"/>
                <w:sz w:val="21"/>
                <w:szCs w:val="21"/>
                <w:lang w:eastAsia="zh-CN"/>
              </w:rPr>
              <w:t>5</w:t>
            </w:r>
          </w:p>
        </w:tc>
      </w:tr>
      <w:tr w:rsidR="005E2BF7" w:rsidRPr="003B593A" w14:paraId="4DA4ADDD" w14:textId="77777777" w:rsidTr="00171BF8">
        <w:trPr>
          <w:jc w:val="center"/>
        </w:trPr>
        <w:tc>
          <w:tcPr>
            <w:tcW w:w="4021" w:type="dxa"/>
          </w:tcPr>
          <w:p w14:paraId="504F2727" w14:textId="5267559F" w:rsidR="005E2BF7" w:rsidRPr="003B593A" w:rsidRDefault="00814B7D" w:rsidP="00F747CE">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10D716D0" w:rsidR="005E2BF7" w:rsidRDefault="006708E6" w:rsidP="00F747CE">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3</w:t>
            </w:r>
            <w:r w:rsidR="002F7679">
              <w:rPr>
                <w:rFonts w:ascii="Arial" w:eastAsiaTheme="minorEastAsia" w:hAnsi="Arial" w:cs="Arial" w:hint="eastAsia"/>
                <w:sz w:val="21"/>
                <w:szCs w:val="21"/>
                <w:lang w:eastAsia="zh-CN"/>
              </w:rPr>
              <w:t>5</w:t>
            </w:r>
          </w:p>
        </w:tc>
      </w:tr>
      <w:tr w:rsidR="00814B7D" w:rsidRPr="003B593A" w14:paraId="7F7A401B" w14:textId="77777777" w:rsidTr="00171BF8">
        <w:trPr>
          <w:jc w:val="center"/>
        </w:trPr>
        <w:tc>
          <w:tcPr>
            <w:tcW w:w="4021" w:type="dxa"/>
          </w:tcPr>
          <w:p w14:paraId="5BF9F853" w14:textId="30BA4F6B" w:rsidR="00814B7D" w:rsidRDefault="006708E6" w:rsidP="00F747CE">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pH</w:t>
            </w:r>
          </w:p>
        </w:tc>
        <w:tc>
          <w:tcPr>
            <w:tcW w:w="3542" w:type="dxa"/>
          </w:tcPr>
          <w:p w14:paraId="1FB86152" w14:textId="77EE384D" w:rsidR="00814B7D" w:rsidRDefault="006708E6" w:rsidP="00F747CE">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7 - 9</w:t>
            </w:r>
          </w:p>
        </w:tc>
      </w:tr>
    </w:tbl>
    <w:p w14:paraId="7D769430" w14:textId="409778BB" w:rsidR="003E79A9" w:rsidRPr="003B593A" w:rsidRDefault="00336E9D" w:rsidP="00F747CE">
      <w:pPr>
        <w:spacing w:line="300"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F747CE">
      <w:pPr>
        <w:spacing w:line="300"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4A0CA788" w:rsidR="00BC0650" w:rsidRDefault="00BC0650" w:rsidP="00F747CE">
      <w:pPr>
        <w:spacing w:line="300"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6708E6">
        <w:rPr>
          <w:rFonts w:ascii="Arial" w:eastAsiaTheme="minorEastAsia" w:hAnsi="Arial" w:cs="Arial" w:hint="eastAsia"/>
          <w:b/>
          <w:sz w:val="21"/>
          <w:szCs w:val="21"/>
          <w:lang w:eastAsia="zh-CN"/>
        </w:rPr>
        <w:t>D-</w:t>
      </w:r>
      <w:r w:rsidR="00E511A3">
        <w:rPr>
          <w:rFonts w:ascii="Arial" w:eastAsiaTheme="minorEastAsia" w:hAnsi="Arial" w:cs="Arial" w:hint="eastAsia"/>
          <w:b/>
          <w:sz w:val="21"/>
          <w:szCs w:val="21"/>
          <w:lang w:eastAsia="zh-CN"/>
        </w:rPr>
        <w:t>6760</w:t>
      </w:r>
      <w:r w:rsidR="006708E6">
        <w:rPr>
          <w:rFonts w:ascii="Arial" w:eastAsiaTheme="minorEastAsia" w:hAnsi="Arial" w:cs="Arial" w:hint="eastAsia"/>
          <w:b/>
          <w:sz w:val="21"/>
          <w:szCs w:val="21"/>
          <w:lang w:eastAsia="zh-CN"/>
        </w:rPr>
        <w:t xml:space="preserve"> </w:t>
      </w:r>
      <w:r w:rsidR="006708E6" w:rsidRPr="006708E6">
        <w:rPr>
          <w:rFonts w:ascii="Arial" w:eastAsiaTheme="minorEastAsia" w:hAnsi="Arial" w:cs="Arial"/>
          <w:bCs/>
          <w:sz w:val="21"/>
          <w:szCs w:val="21"/>
          <w:lang w:eastAsia="zh-CN"/>
        </w:rPr>
        <w:t>features low foaming, excellent water resistance, and outstanding salt</w:t>
      </w:r>
      <w:r w:rsidR="006708E6">
        <w:rPr>
          <w:rFonts w:ascii="Arial" w:eastAsiaTheme="minorEastAsia" w:hAnsi="Arial" w:cs="Arial" w:hint="eastAsia"/>
          <w:bCs/>
          <w:sz w:val="21"/>
          <w:szCs w:val="21"/>
          <w:lang w:eastAsia="zh-CN"/>
        </w:rPr>
        <w:t>-</w:t>
      </w:r>
      <w:r w:rsidR="006708E6" w:rsidRPr="006708E6">
        <w:rPr>
          <w:rFonts w:ascii="Arial" w:eastAsiaTheme="minorEastAsia" w:hAnsi="Arial" w:cs="Arial"/>
          <w:bCs/>
          <w:sz w:val="21"/>
          <w:szCs w:val="21"/>
          <w:lang w:eastAsia="zh-CN"/>
        </w:rPr>
        <w:t>spray resistance. It is recommended for the dispersion and grinding of both organic and inorganic pigments in water</w:t>
      </w:r>
      <w:r w:rsidR="006708E6">
        <w:rPr>
          <w:rFonts w:ascii="Arial" w:eastAsiaTheme="minorEastAsia" w:hAnsi="Arial" w:cs="Arial" w:hint="eastAsia"/>
          <w:bCs/>
          <w:sz w:val="21"/>
          <w:szCs w:val="21"/>
          <w:lang w:eastAsia="zh-CN"/>
        </w:rPr>
        <w:t>-</w:t>
      </w:r>
      <w:r w:rsidR="006708E6" w:rsidRPr="006708E6">
        <w:rPr>
          <w:rFonts w:ascii="Arial" w:eastAsiaTheme="minorEastAsia" w:hAnsi="Arial" w:cs="Arial"/>
          <w:bCs/>
          <w:sz w:val="21"/>
          <w:szCs w:val="21"/>
          <w:lang w:eastAsia="zh-CN"/>
        </w:rPr>
        <w:t>borne industrial paints and water-based inks. The product effectively prevents floating and flocculation, while enhancing gloss presentation.</w:t>
      </w:r>
      <w:r w:rsidR="00472D3D">
        <w:rPr>
          <w:rFonts w:ascii="Arial" w:eastAsiaTheme="minorEastAsia" w:hAnsi="Arial" w:cs="Arial" w:hint="eastAsia"/>
          <w:bCs/>
          <w:sz w:val="21"/>
          <w:szCs w:val="21"/>
          <w:lang w:eastAsia="zh-CN"/>
        </w:rPr>
        <w:t xml:space="preserve"> Turbidity or separation may occur when temperature is above 40</w:t>
      </w:r>
      <w:r w:rsidR="00472D3D">
        <w:rPr>
          <w:rFonts w:ascii="Arial" w:eastAsiaTheme="minorEastAsia" w:hAnsi="Arial" w:cs="Arial" w:hint="eastAsia"/>
          <w:bCs/>
          <w:sz w:val="21"/>
          <w:szCs w:val="21"/>
          <w:lang w:eastAsia="zh-CN"/>
        </w:rPr>
        <w:t>℃</w:t>
      </w:r>
      <w:r w:rsidR="00472D3D">
        <w:rPr>
          <w:rFonts w:ascii="Arial" w:eastAsiaTheme="minorEastAsia" w:hAnsi="Arial" w:cs="Arial" w:hint="eastAsia"/>
          <w:bCs/>
          <w:sz w:val="21"/>
          <w:szCs w:val="21"/>
          <w:lang w:eastAsia="zh-CN"/>
        </w:rPr>
        <w:t>, please mix well before use.</w:t>
      </w:r>
    </w:p>
    <w:p w14:paraId="47807AC4" w14:textId="17BBAF9C" w:rsidR="00DF449A" w:rsidRDefault="00DF449A" w:rsidP="00F747CE">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(base on the </w:t>
      </w:r>
      <w:r w:rsidR="006272C1">
        <w:rPr>
          <w:rFonts w:ascii="Arial" w:eastAsiaTheme="minorEastAsia" w:hAnsi="Arial" w:cs="Arial"/>
          <w:sz w:val="21"/>
          <w:szCs w:val="21"/>
          <w:lang w:eastAsia="zh-CN"/>
        </w:rPr>
        <w:t>pigment volume</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p>
    <w:p w14:paraId="5E4BA8F2" w14:textId="114350B2" w:rsidR="006272C1" w:rsidRDefault="006272C1" w:rsidP="00F747CE">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Inorganic pigment: </w:t>
      </w:r>
      <w:r w:rsidR="006708E6">
        <w:rPr>
          <w:rFonts w:ascii="Arial" w:eastAsiaTheme="minorEastAsia" w:hAnsi="Arial" w:cs="Arial" w:hint="eastAsia"/>
          <w:sz w:val="21"/>
          <w:szCs w:val="21"/>
          <w:lang w:eastAsia="zh-CN"/>
        </w:rPr>
        <w:t>2</w:t>
      </w:r>
      <w:r>
        <w:rPr>
          <w:rFonts w:ascii="Arial" w:eastAsiaTheme="minorEastAsia" w:hAnsi="Arial" w:cs="Arial"/>
          <w:sz w:val="21"/>
          <w:szCs w:val="21"/>
          <w:lang w:eastAsia="zh-CN"/>
        </w:rPr>
        <w:t xml:space="preserve"> – </w:t>
      </w:r>
      <w:r w:rsidR="006708E6">
        <w:rPr>
          <w:rFonts w:ascii="Arial" w:eastAsiaTheme="minorEastAsia" w:hAnsi="Arial" w:cs="Arial" w:hint="eastAsia"/>
          <w:sz w:val="21"/>
          <w:szCs w:val="21"/>
          <w:lang w:eastAsia="zh-CN"/>
        </w:rPr>
        <w:t>15</w:t>
      </w:r>
      <w:r>
        <w:rPr>
          <w:rFonts w:ascii="Arial" w:eastAsiaTheme="minorEastAsia" w:hAnsi="Arial" w:cs="Arial"/>
          <w:sz w:val="21"/>
          <w:szCs w:val="21"/>
          <w:lang w:eastAsia="zh-CN"/>
        </w:rPr>
        <w:t>%</w:t>
      </w:r>
    </w:p>
    <w:p w14:paraId="67AAD086" w14:textId="7F8FEFAD" w:rsidR="006272C1" w:rsidRDefault="006272C1" w:rsidP="00F747CE">
      <w:pPr>
        <w:spacing w:line="300"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O</w:t>
      </w:r>
      <w:r>
        <w:rPr>
          <w:rFonts w:ascii="Arial" w:eastAsiaTheme="minorEastAsia" w:hAnsi="Arial" w:cs="Arial"/>
          <w:sz w:val="21"/>
          <w:szCs w:val="21"/>
          <w:lang w:eastAsia="zh-CN"/>
        </w:rPr>
        <w:t xml:space="preserve">rganic pigment: </w:t>
      </w:r>
      <w:r w:rsidR="006708E6">
        <w:rPr>
          <w:rFonts w:ascii="Arial" w:eastAsiaTheme="minorEastAsia" w:hAnsi="Arial" w:cs="Arial" w:hint="eastAsia"/>
          <w:sz w:val="21"/>
          <w:szCs w:val="21"/>
          <w:lang w:eastAsia="zh-CN"/>
        </w:rPr>
        <w:t>15</w:t>
      </w:r>
      <w:r>
        <w:rPr>
          <w:rFonts w:ascii="Arial" w:eastAsiaTheme="minorEastAsia" w:hAnsi="Arial" w:cs="Arial"/>
          <w:sz w:val="21"/>
          <w:szCs w:val="21"/>
          <w:lang w:eastAsia="zh-CN"/>
        </w:rPr>
        <w:t xml:space="preserve"> – </w:t>
      </w:r>
      <w:r w:rsidR="006708E6">
        <w:rPr>
          <w:rFonts w:ascii="Arial" w:eastAsiaTheme="minorEastAsia" w:hAnsi="Arial" w:cs="Arial" w:hint="eastAsia"/>
          <w:sz w:val="21"/>
          <w:szCs w:val="21"/>
          <w:lang w:eastAsia="zh-CN"/>
        </w:rPr>
        <w:t>4</w:t>
      </w:r>
      <w:r>
        <w:rPr>
          <w:rFonts w:ascii="Arial" w:eastAsiaTheme="minorEastAsia" w:hAnsi="Arial" w:cs="Arial"/>
          <w:sz w:val="21"/>
          <w:szCs w:val="21"/>
          <w:lang w:eastAsia="zh-CN"/>
        </w:rPr>
        <w:t>5%</w:t>
      </w:r>
    </w:p>
    <w:p w14:paraId="6773B620" w14:textId="799D5E13" w:rsidR="006272C1" w:rsidRPr="006272C1" w:rsidRDefault="006272C1" w:rsidP="00F747CE">
      <w:pPr>
        <w:spacing w:line="300"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C</w:t>
      </w:r>
      <w:r>
        <w:rPr>
          <w:rFonts w:ascii="Arial" w:eastAsiaTheme="minorEastAsia" w:hAnsi="Arial" w:cs="Arial"/>
          <w:sz w:val="21"/>
          <w:szCs w:val="21"/>
          <w:lang w:eastAsia="zh-CN"/>
        </w:rPr>
        <w:t>arbon black: 2</w:t>
      </w:r>
      <w:r w:rsidR="006708E6">
        <w:rPr>
          <w:rFonts w:ascii="Arial" w:eastAsiaTheme="minorEastAsia" w:hAnsi="Arial" w:cs="Arial" w:hint="eastAsia"/>
          <w:sz w:val="21"/>
          <w:szCs w:val="21"/>
          <w:lang w:eastAsia="zh-CN"/>
        </w:rPr>
        <w:t>5</w:t>
      </w:r>
      <w:r>
        <w:rPr>
          <w:rFonts w:ascii="Arial" w:eastAsiaTheme="minorEastAsia" w:hAnsi="Arial" w:cs="Arial"/>
          <w:sz w:val="21"/>
          <w:szCs w:val="21"/>
          <w:lang w:eastAsia="zh-CN"/>
        </w:rPr>
        <w:t xml:space="preserve"> – 50%</w:t>
      </w:r>
    </w:p>
    <w:p w14:paraId="75FB2948" w14:textId="1A7C31D8" w:rsidR="00DF449A" w:rsidRDefault="001D53AB" w:rsidP="00F747CE">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Above dosage are only for orientation, optimum level of dosage should be determined via laboratory tests.</w:t>
      </w:r>
    </w:p>
    <w:p w14:paraId="5A9096D3" w14:textId="68EF36F6" w:rsidR="00401E57" w:rsidRPr="00401E57" w:rsidRDefault="00F747CE" w:rsidP="00F747CE">
      <w:pPr>
        <w:spacing w:line="300" w:lineRule="auto"/>
        <w:jc w:val="both"/>
        <w:rPr>
          <w:rFonts w:ascii="Arial" w:eastAsiaTheme="minorEastAsia" w:hAnsi="Arial" w:cs="Arial" w:hint="eastAsia"/>
          <w:sz w:val="21"/>
          <w:szCs w:val="21"/>
          <w:lang w:eastAsia="zh-CN"/>
        </w:rPr>
      </w:pPr>
      <w:r>
        <w:rPr>
          <w:rFonts w:ascii="Arial" w:eastAsiaTheme="minorEastAsia" w:hAnsi="Arial" w:cs="Arial" w:hint="eastAsia"/>
          <w:sz w:val="21"/>
          <w:szCs w:val="21"/>
          <w:lang w:eastAsia="zh-CN"/>
        </w:rPr>
        <w:t>Suggested transportation and storage at 5-45</w:t>
      </w:r>
      <w:r>
        <w:rPr>
          <w:rFonts w:ascii="Arial" w:eastAsiaTheme="minorEastAsia" w:hAnsi="Arial" w:cs="Arial" w:hint="eastAsia"/>
          <w:sz w:val="21"/>
          <w:szCs w:val="21"/>
          <w:lang w:eastAsia="zh-CN"/>
        </w:rPr>
        <w:t>℃</w:t>
      </w:r>
      <w:r>
        <w:rPr>
          <w:rFonts w:ascii="Arial" w:eastAsiaTheme="minorEastAsia" w:hAnsi="Arial" w:cs="Arial" w:hint="eastAsia"/>
          <w:sz w:val="21"/>
          <w:szCs w:val="21"/>
          <w:lang w:eastAsia="zh-CN"/>
        </w:rPr>
        <w:t xml:space="preserve">, maybe frozen </w:t>
      </w:r>
      <w:r>
        <w:rPr>
          <w:rFonts w:ascii="Arial" w:eastAsiaTheme="minorEastAsia" w:hAnsi="Arial" w:cs="Arial"/>
          <w:sz w:val="21"/>
          <w:szCs w:val="21"/>
          <w:lang w:eastAsia="zh-CN"/>
        </w:rPr>
        <w:t>when</w:t>
      </w:r>
      <w:r>
        <w:rPr>
          <w:rFonts w:ascii="Arial" w:eastAsiaTheme="minorEastAsia" w:hAnsi="Arial" w:cs="Arial" w:hint="eastAsia"/>
          <w:sz w:val="21"/>
          <w:szCs w:val="21"/>
          <w:lang w:eastAsia="zh-CN"/>
        </w:rPr>
        <w:t xml:space="preserve"> temperature less than 0</w:t>
      </w:r>
      <w:r>
        <w:rPr>
          <w:rFonts w:ascii="Arial" w:eastAsiaTheme="minorEastAsia" w:hAnsi="Arial" w:cs="Arial" w:hint="eastAsia"/>
          <w:sz w:val="21"/>
          <w:szCs w:val="21"/>
          <w:lang w:eastAsia="zh-CN"/>
        </w:rPr>
        <w:t>℃</w:t>
      </w:r>
      <w:r>
        <w:rPr>
          <w:rFonts w:ascii="Arial" w:eastAsiaTheme="minorEastAsia" w:hAnsi="Arial" w:cs="Arial" w:hint="eastAsia"/>
          <w:sz w:val="21"/>
          <w:szCs w:val="21"/>
          <w:lang w:eastAsia="zh-CN"/>
        </w:rPr>
        <w:t>. T</w:t>
      </w:r>
      <w:r w:rsidR="00401E57" w:rsidRPr="00401E57">
        <w:rPr>
          <w:rFonts w:ascii="Arial" w:eastAsiaTheme="minorEastAsia" w:hAnsi="Arial" w:cs="Arial"/>
          <w:sz w:val="21"/>
          <w:szCs w:val="21"/>
          <w:lang w:eastAsia="zh-CN"/>
        </w:rPr>
        <w:t>heoretically</w:t>
      </w:r>
      <w:r w:rsidR="00401E57">
        <w:rPr>
          <w:rFonts w:ascii="Arial" w:eastAsiaTheme="minorEastAsia" w:hAnsi="Arial" w:cs="Arial" w:hint="eastAsia"/>
          <w:sz w:val="21"/>
          <w:szCs w:val="21"/>
          <w:lang w:eastAsia="zh-CN"/>
        </w:rPr>
        <w:t xml:space="preserve">, frozen not effect </w:t>
      </w:r>
      <w:r w:rsidR="00401E57">
        <w:rPr>
          <w:rFonts w:ascii="Arial" w:eastAsiaTheme="minorEastAsia" w:hAnsi="Arial" w:cs="Arial"/>
          <w:sz w:val="21"/>
          <w:szCs w:val="21"/>
          <w:lang w:eastAsia="zh-CN"/>
        </w:rPr>
        <w:t>on th</w:t>
      </w:r>
      <w:r w:rsidR="00401E57">
        <w:rPr>
          <w:rFonts w:ascii="Arial" w:eastAsiaTheme="minorEastAsia" w:hAnsi="Arial" w:cs="Arial" w:hint="eastAsia"/>
          <w:sz w:val="21"/>
          <w:szCs w:val="21"/>
          <w:lang w:eastAsia="zh-CN"/>
        </w:rPr>
        <w:t>e performance, please warm it to 30-40</w:t>
      </w:r>
      <w:r w:rsidR="00401E57">
        <w:rPr>
          <w:rFonts w:ascii="Arial" w:eastAsiaTheme="minorEastAsia" w:hAnsi="Arial" w:cs="Arial" w:hint="eastAsia"/>
          <w:sz w:val="21"/>
          <w:szCs w:val="21"/>
          <w:lang w:eastAsia="zh-CN"/>
        </w:rPr>
        <w:t>℃</w:t>
      </w:r>
      <w:r w:rsidR="00401E57">
        <w:rPr>
          <w:rFonts w:ascii="Arial" w:eastAsiaTheme="minorEastAsia" w:hAnsi="Arial" w:cs="Arial" w:hint="eastAsia"/>
          <w:sz w:val="21"/>
          <w:szCs w:val="21"/>
          <w:lang w:eastAsia="zh-CN"/>
        </w:rPr>
        <w:t xml:space="preserve"> and mix it well before use when frozen happened and </w:t>
      </w:r>
      <w:r w:rsidR="00401E57">
        <w:rPr>
          <w:rFonts w:ascii="Arial" w:eastAsiaTheme="minorEastAsia" w:hAnsi="Arial" w:cs="Arial"/>
          <w:sz w:val="21"/>
          <w:szCs w:val="21"/>
          <w:lang w:eastAsia="zh-CN"/>
        </w:rPr>
        <w:t>confi</w:t>
      </w:r>
      <w:r w:rsidR="00401E57">
        <w:rPr>
          <w:rFonts w:ascii="Arial" w:eastAsiaTheme="minorEastAsia" w:hAnsi="Arial" w:cs="Arial" w:hint="eastAsia"/>
          <w:sz w:val="21"/>
          <w:szCs w:val="21"/>
          <w:lang w:eastAsia="zh-CN"/>
        </w:rPr>
        <w:t>rm the performance firstly.</w:t>
      </w:r>
    </w:p>
    <w:p w14:paraId="1CBAB742" w14:textId="77777777" w:rsidR="000A0B9D" w:rsidRPr="00CA5CAF" w:rsidRDefault="000A0B9D" w:rsidP="00F747CE">
      <w:pPr>
        <w:spacing w:line="300"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F747CE">
      <w:pPr>
        <w:spacing w:line="300"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F747CE">
      <w:pPr>
        <w:spacing w:line="300" w:lineRule="auto"/>
        <w:rPr>
          <w:rFonts w:ascii="Arial" w:eastAsia="宋体" w:hAnsi="Arial" w:cs="Arial"/>
          <w:b/>
          <w:sz w:val="28"/>
          <w:lang w:eastAsia="zh-CN"/>
        </w:rPr>
      </w:pPr>
      <w:r w:rsidRPr="003B593A">
        <w:rPr>
          <w:rFonts w:ascii="Arial" w:eastAsia="宋体" w:hAnsi="Arial" w:cs="Arial"/>
          <w:b/>
          <w:sz w:val="28"/>
          <w:lang w:eastAsia="zh-CN"/>
        </w:rPr>
        <w:lastRenderedPageBreak/>
        <w:t>DISCLAIMER</w:t>
      </w:r>
    </w:p>
    <w:p w14:paraId="1A0B34B3" w14:textId="2990FE44" w:rsidR="000A0B9D" w:rsidRPr="003B593A" w:rsidRDefault="000A0B9D" w:rsidP="00F747CE">
      <w:pPr>
        <w:spacing w:afterLines="30" w:after="97" w:line="300"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F747CE">
      <w:pPr>
        <w:spacing w:line="300"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CB55" w14:textId="77777777" w:rsidR="00912E29" w:rsidRDefault="00912E29" w:rsidP="00D67962">
      <w:r>
        <w:separator/>
      </w:r>
    </w:p>
  </w:endnote>
  <w:endnote w:type="continuationSeparator" w:id="0">
    <w:p w14:paraId="3DD8B887" w14:textId="77777777" w:rsidR="00912E29" w:rsidRDefault="00912E29"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3B27" w14:textId="77777777" w:rsidR="00912E29" w:rsidRDefault="00912E29" w:rsidP="00D67962">
      <w:r>
        <w:separator/>
      </w:r>
    </w:p>
  </w:footnote>
  <w:footnote w:type="continuationSeparator" w:id="0">
    <w:p w14:paraId="7E4ADC0F" w14:textId="77777777" w:rsidR="00912E29" w:rsidRDefault="00912E29"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C92F30"/>
    <w:multiLevelType w:val="multilevel"/>
    <w:tmpl w:val="F25C36A4"/>
    <w:lvl w:ilvl="0">
      <w:start w:val="1"/>
      <w:numFmt w:val="decimal"/>
      <w:lvlText w:val="%1.0"/>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1295410074">
    <w:abstractNumId w:val="0"/>
  </w:num>
  <w:num w:numId="2" w16cid:durableId="119591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A0B9D"/>
    <w:rsid w:val="000E7BE1"/>
    <w:rsid w:val="00122A34"/>
    <w:rsid w:val="00125C97"/>
    <w:rsid w:val="001449E6"/>
    <w:rsid w:val="00144B2E"/>
    <w:rsid w:val="00171BF8"/>
    <w:rsid w:val="001802FC"/>
    <w:rsid w:val="00195220"/>
    <w:rsid w:val="001B2DCA"/>
    <w:rsid w:val="001B301F"/>
    <w:rsid w:val="001C7285"/>
    <w:rsid w:val="001D53AB"/>
    <w:rsid w:val="001F1ADF"/>
    <w:rsid w:val="001F52DB"/>
    <w:rsid w:val="001F7B20"/>
    <w:rsid w:val="00237B3C"/>
    <w:rsid w:val="0025574F"/>
    <w:rsid w:val="0026527E"/>
    <w:rsid w:val="00271633"/>
    <w:rsid w:val="0027540B"/>
    <w:rsid w:val="002B21E8"/>
    <w:rsid w:val="002F7679"/>
    <w:rsid w:val="00312A86"/>
    <w:rsid w:val="003254C9"/>
    <w:rsid w:val="00332C2C"/>
    <w:rsid w:val="00336E9D"/>
    <w:rsid w:val="00355163"/>
    <w:rsid w:val="00366616"/>
    <w:rsid w:val="0037766C"/>
    <w:rsid w:val="003A498F"/>
    <w:rsid w:val="003B593A"/>
    <w:rsid w:val="003E79A9"/>
    <w:rsid w:val="00401E57"/>
    <w:rsid w:val="0040255A"/>
    <w:rsid w:val="00412FAE"/>
    <w:rsid w:val="0042654D"/>
    <w:rsid w:val="0042792F"/>
    <w:rsid w:val="00431400"/>
    <w:rsid w:val="00456833"/>
    <w:rsid w:val="0046076A"/>
    <w:rsid w:val="00470940"/>
    <w:rsid w:val="0047123E"/>
    <w:rsid w:val="0047165E"/>
    <w:rsid w:val="00472D3D"/>
    <w:rsid w:val="004847AE"/>
    <w:rsid w:val="00493494"/>
    <w:rsid w:val="004A0E6C"/>
    <w:rsid w:val="004A7EBF"/>
    <w:rsid w:val="004B2681"/>
    <w:rsid w:val="004C7A34"/>
    <w:rsid w:val="0050017B"/>
    <w:rsid w:val="00521EFB"/>
    <w:rsid w:val="00551228"/>
    <w:rsid w:val="00551A66"/>
    <w:rsid w:val="00570F4C"/>
    <w:rsid w:val="00593951"/>
    <w:rsid w:val="005D29EF"/>
    <w:rsid w:val="005E2BF7"/>
    <w:rsid w:val="005E3243"/>
    <w:rsid w:val="005F0E0E"/>
    <w:rsid w:val="00610704"/>
    <w:rsid w:val="00616751"/>
    <w:rsid w:val="00624C92"/>
    <w:rsid w:val="006272C1"/>
    <w:rsid w:val="00640E62"/>
    <w:rsid w:val="00644AD4"/>
    <w:rsid w:val="006520FB"/>
    <w:rsid w:val="006637FD"/>
    <w:rsid w:val="006708E6"/>
    <w:rsid w:val="006860E6"/>
    <w:rsid w:val="006A02E8"/>
    <w:rsid w:val="006A2387"/>
    <w:rsid w:val="006A609F"/>
    <w:rsid w:val="006C4E3E"/>
    <w:rsid w:val="006E780B"/>
    <w:rsid w:val="007246B0"/>
    <w:rsid w:val="00724F14"/>
    <w:rsid w:val="00756DCA"/>
    <w:rsid w:val="00776107"/>
    <w:rsid w:val="00790B82"/>
    <w:rsid w:val="007A6D68"/>
    <w:rsid w:val="007C77C8"/>
    <w:rsid w:val="007E62D4"/>
    <w:rsid w:val="007F381B"/>
    <w:rsid w:val="00806397"/>
    <w:rsid w:val="00814B7D"/>
    <w:rsid w:val="008912AA"/>
    <w:rsid w:val="008A233C"/>
    <w:rsid w:val="008A5C24"/>
    <w:rsid w:val="008A6F3E"/>
    <w:rsid w:val="008A704F"/>
    <w:rsid w:val="008D46A8"/>
    <w:rsid w:val="008E273E"/>
    <w:rsid w:val="008E7636"/>
    <w:rsid w:val="00912E29"/>
    <w:rsid w:val="00917E90"/>
    <w:rsid w:val="009400E3"/>
    <w:rsid w:val="009551D7"/>
    <w:rsid w:val="00977652"/>
    <w:rsid w:val="009C55D3"/>
    <w:rsid w:val="009C567B"/>
    <w:rsid w:val="009C6348"/>
    <w:rsid w:val="009D0080"/>
    <w:rsid w:val="009D1DF0"/>
    <w:rsid w:val="009D4350"/>
    <w:rsid w:val="009D5D0B"/>
    <w:rsid w:val="009E5287"/>
    <w:rsid w:val="00A336C8"/>
    <w:rsid w:val="00A34278"/>
    <w:rsid w:val="00A41000"/>
    <w:rsid w:val="00A733A6"/>
    <w:rsid w:val="00A92175"/>
    <w:rsid w:val="00AA07C1"/>
    <w:rsid w:val="00AA359D"/>
    <w:rsid w:val="00AC3A90"/>
    <w:rsid w:val="00AE2526"/>
    <w:rsid w:val="00B1049C"/>
    <w:rsid w:val="00B1210B"/>
    <w:rsid w:val="00BA0C54"/>
    <w:rsid w:val="00BB6B6E"/>
    <w:rsid w:val="00BC0650"/>
    <w:rsid w:val="00BD150F"/>
    <w:rsid w:val="00BD72D1"/>
    <w:rsid w:val="00BE3F44"/>
    <w:rsid w:val="00BE660F"/>
    <w:rsid w:val="00C028CE"/>
    <w:rsid w:val="00C07827"/>
    <w:rsid w:val="00C31DF3"/>
    <w:rsid w:val="00C45FAB"/>
    <w:rsid w:val="00C83EEA"/>
    <w:rsid w:val="00CA5CAF"/>
    <w:rsid w:val="00CA5EB6"/>
    <w:rsid w:val="00CB2E7D"/>
    <w:rsid w:val="00CC0AAD"/>
    <w:rsid w:val="00CD2C14"/>
    <w:rsid w:val="00CE455C"/>
    <w:rsid w:val="00D079B8"/>
    <w:rsid w:val="00D254F8"/>
    <w:rsid w:val="00D67962"/>
    <w:rsid w:val="00D714A8"/>
    <w:rsid w:val="00D913E6"/>
    <w:rsid w:val="00DB3CC1"/>
    <w:rsid w:val="00DC0272"/>
    <w:rsid w:val="00DD5659"/>
    <w:rsid w:val="00DF449A"/>
    <w:rsid w:val="00E12753"/>
    <w:rsid w:val="00E273A4"/>
    <w:rsid w:val="00E3048C"/>
    <w:rsid w:val="00E37A41"/>
    <w:rsid w:val="00E438DD"/>
    <w:rsid w:val="00E511A3"/>
    <w:rsid w:val="00E555FC"/>
    <w:rsid w:val="00E665DC"/>
    <w:rsid w:val="00E85AF0"/>
    <w:rsid w:val="00E85C31"/>
    <w:rsid w:val="00E93C29"/>
    <w:rsid w:val="00EB3358"/>
    <w:rsid w:val="00EC0629"/>
    <w:rsid w:val="00EF4F02"/>
    <w:rsid w:val="00EF5995"/>
    <w:rsid w:val="00EF64D5"/>
    <w:rsid w:val="00F568DF"/>
    <w:rsid w:val="00F710F3"/>
    <w:rsid w:val="00F747CE"/>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6708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497359">
      <w:bodyDiv w:val="1"/>
      <w:marLeft w:val="0"/>
      <w:marRight w:val="0"/>
      <w:marTop w:val="0"/>
      <w:marBottom w:val="0"/>
      <w:divBdr>
        <w:top w:val="none" w:sz="0" w:space="0" w:color="auto"/>
        <w:left w:val="none" w:sz="0" w:space="0" w:color="auto"/>
        <w:bottom w:val="none" w:sz="0" w:space="0" w:color="auto"/>
        <w:right w:val="none" w:sz="0" w:space="0" w:color="auto"/>
      </w:divBdr>
      <w:divsChild>
        <w:div w:id="1935628385">
          <w:marLeft w:val="0"/>
          <w:marRight w:val="45"/>
          <w:marTop w:val="0"/>
          <w:marBottom w:val="0"/>
          <w:divBdr>
            <w:top w:val="none" w:sz="0" w:space="0" w:color="auto"/>
            <w:left w:val="none" w:sz="0" w:space="0" w:color="auto"/>
            <w:bottom w:val="none" w:sz="0" w:space="0" w:color="auto"/>
            <w:right w:val="none" w:sz="0" w:space="0" w:color="auto"/>
          </w:divBdr>
        </w:div>
      </w:divsChild>
    </w:div>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 w:id="1763330693">
      <w:bodyDiv w:val="1"/>
      <w:marLeft w:val="0"/>
      <w:marRight w:val="0"/>
      <w:marTop w:val="0"/>
      <w:marBottom w:val="0"/>
      <w:divBdr>
        <w:top w:val="none" w:sz="0" w:space="0" w:color="auto"/>
        <w:left w:val="none" w:sz="0" w:space="0" w:color="auto"/>
        <w:bottom w:val="none" w:sz="0" w:space="0" w:color="auto"/>
        <w:right w:val="none" w:sz="0" w:space="0" w:color="auto"/>
      </w:divBdr>
      <w:divsChild>
        <w:div w:id="1368867877">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2046</Characters>
  <Application>Microsoft Office Word</Application>
  <DocSecurity>0</DocSecurity>
  <Lines>17</Lines>
  <Paragraphs>4</Paragraphs>
  <ScaleCrop>false</ScaleCrop>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珂 张</cp:lastModifiedBy>
  <cp:revision>5</cp:revision>
  <cp:lastPrinted>2022-11-03T05:41:00Z</cp:lastPrinted>
  <dcterms:created xsi:type="dcterms:W3CDTF">2024-11-26T05:41:00Z</dcterms:created>
  <dcterms:modified xsi:type="dcterms:W3CDTF">2024-11-26T05:55:00Z</dcterms:modified>
</cp:coreProperties>
</file>