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32B4" w14:textId="26C291EC" w:rsidR="00E85AF0" w:rsidRPr="00107E96" w:rsidRDefault="00E85AF0" w:rsidP="005C2B6F">
      <w:pPr>
        <w:pStyle w:val="ProductName"/>
        <w:tabs>
          <w:tab w:val="left" w:pos="93"/>
        </w:tabs>
        <w:spacing w:beforeLines="30" w:before="97" w:line="240"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6A5C0E">
        <w:rPr>
          <w:rFonts w:ascii="Arial" w:eastAsiaTheme="majorEastAsia" w:hAnsi="Arial" w:cs="Arial"/>
          <w:b/>
          <w:sz w:val="30"/>
          <w:szCs w:val="30"/>
          <w:lang w:eastAsia="zh-CN"/>
        </w:rPr>
        <w:t>DO-105</w:t>
      </w:r>
      <w:r w:rsidR="00215E8B">
        <w:rPr>
          <w:rFonts w:ascii="Arial" w:eastAsiaTheme="majorEastAsia" w:hAnsi="Arial" w:cs="Arial"/>
          <w:b/>
          <w:sz w:val="30"/>
          <w:szCs w:val="30"/>
          <w:lang w:eastAsia="zh-CN"/>
        </w:rPr>
        <w:t>0</w:t>
      </w:r>
    </w:p>
    <w:p w14:paraId="6097FFB3" w14:textId="0DC950CF" w:rsidR="00E85AF0" w:rsidRPr="00C64E0F" w:rsidRDefault="00107E96" w:rsidP="00ED3631">
      <w:pPr>
        <w:jc w:val="center"/>
        <w:rPr>
          <w:rFonts w:ascii="Arial" w:eastAsiaTheme="majorEastAsia" w:hAnsi="Arial" w:cs="Arial"/>
          <w:lang w:eastAsia="zh-CN"/>
        </w:rPr>
      </w:pPr>
      <w:r>
        <w:rPr>
          <w:rFonts w:ascii="Arial" w:eastAsiaTheme="majorEastAsia" w:cs="Arial"/>
          <w:lang w:eastAsia="zh-CN"/>
        </w:rPr>
        <w:t>Wetting &amp; Dispersing Agent</w:t>
      </w:r>
    </w:p>
    <w:p w14:paraId="42396DD6" w14:textId="77777777" w:rsidR="00ED3631" w:rsidRPr="00ED3631" w:rsidRDefault="00ED3631" w:rsidP="00ED3631">
      <w:pPr>
        <w:jc w:val="center"/>
        <w:rPr>
          <w:rFonts w:ascii="Arial" w:eastAsiaTheme="majorEastAsia" w:hAnsi="Arial" w:cs="Arial"/>
          <w:sz w:val="28"/>
          <w:szCs w:val="28"/>
          <w:lang w:eastAsia="zh-CN"/>
        </w:rPr>
      </w:pPr>
    </w:p>
    <w:p w14:paraId="30379597" w14:textId="77777777" w:rsidR="00E85AF0" w:rsidRPr="00045AA7" w:rsidRDefault="00045AA7" w:rsidP="00045AA7">
      <w:pPr>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06520FFA" w14:textId="5EC2C1F6" w:rsidR="000D4635" w:rsidRDefault="00E85AF0" w:rsidP="00EE2087">
      <w:pPr>
        <w:spacing w:line="312"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107E96">
        <w:rPr>
          <w:rFonts w:ascii="Arial" w:eastAsiaTheme="majorEastAsia" w:hAnsi="Arial" w:cs="Arial" w:hint="eastAsia"/>
          <w:b/>
          <w:sz w:val="21"/>
          <w:szCs w:val="21"/>
          <w:lang w:eastAsia="zh-CN"/>
        </w:rPr>
        <w:t>O</w:t>
      </w:r>
      <w:r w:rsidR="000C0F82">
        <w:rPr>
          <w:rFonts w:ascii="Arial" w:eastAsiaTheme="majorEastAsia" w:hAnsi="Arial" w:cs="Arial" w:hint="eastAsia"/>
          <w:b/>
          <w:sz w:val="21"/>
          <w:szCs w:val="21"/>
          <w:lang w:eastAsia="zh-CN"/>
        </w:rPr>
        <w:t>-1</w:t>
      </w:r>
      <w:r w:rsidR="00107E96">
        <w:rPr>
          <w:rFonts w:ascii="Arial" w:eastAsiaTheme="majorEastAsia" w:hAnsi="Arial" w:cs="Arial"/>
          <w:b/>
          <w:sz w:val="21"/>
          <w:szCs w:val="21"/>
          <w:lang w:eastAsia="zh-CN"/>
        </w:rPr>
        <w:t>050</w:t>
      </w:r>
      <w:r w:rsidR="00045AA7">
        <w:rPr>
          <w:rFonts w:ascii="Arial" w:eastAsiaTheme="majorEastAsia" w:hAnsi="Arial" w:cs="Arial" w:hint="eastAsia"/>
          <w:sz w:val="21"/>
          <w:szCs w:val="21"/>
          <w:lang w:eastAsia="zh-CN"/>
        </w:rPr>
        <w:t xml:space="preserve"> is </w:t>
      </w:r>
      <w:r w:rsidR="000C0F82">
        <w:rPr>
          <w:rFonts w:ascii="Arial" w:eastAsiaTheme="majorEastAsia" w:hAnsi="Arial" w:cs="Arial"/>
          <w:sz w:val="21"/>
          <w:szCs w:val="21"/>
          <w:lang w:eastAsia="zh-CN"/>
        </w:rPr>
        <w:t xml:space="preserve">a </w:t>
      </w:r>
      <w:r w:rsidR="00107E96">
        <w:rPr>
          <w:rFonts w:ascii="Arial" w:eastAsiaTheme="majorEastAsia" w:hAnsi="Arial" w:cs="Arial"/>
          <w:sz w:val="21"/>
          <w:szCs w:val="21"/>
          <w:lang w:eastAsia="zh-CN"/>
        </w:rPr>
        <w:t xml:space="preserve">solution of unsaturated low molecular weight </w:t>
      </w:r>
      <w:proofErr w:type="spellStart"/>
      <w:r w:rsidR="00107E96">
        <w:rPr>
          <w:rFonts w:ascii="Arial" w:eastAsiaTheme="majorEastAsia" w:hAnsi="Arial" w:cs="Arial"/>
          <w:sz w:val="21"/>
          <w:szCs w:val="21"/>
          <w:lang w:eastAsia="zh-CN"/>
        </w:rPr>
        <w:t>polycarboxylic</w:t>
      </w:r>
      <w:proofErr w:type="spellEnd"/>
      <w:r w:rsidR="00107E96">
        <w:rPr>
          <w:rFonts w:ascii="Arial" w:eastAsiaTheme="majorEastAsia" w:hAnsi="Arial" w:cs="Arial"/>
          <w:sz w:val="21"/>
          <w:szCs w:val="21"/>
          <w:lang w:eastAsia="zh-CN"/>
        </w:rPr>
        <w:t xml:space="preserve"> acid polymer. It is used in solvent-borne system, with medium </w:t>
      </w:r>
      <w:r w:rsidR="00D177A1">
        <w:rPr>
          <w:rFonts w:ascii="Arial" w:eastAsiaTheme="majorEastAsia" w:hAnsi="Arial" w:cs="Arial" w:hint="eastAsia"/>
          <w:sz w:val="21"/>
          <w:szCs w:val="21"/>
          <w:lang w:eastAsia="zh-CN"/>
        </w:rPr>
        <w:t>to</w:t>
      </w:r>
      <w:r w:rsidR="00D177A1">
        <w:rPr>
          <w:rFonts w:ascii="Arial" w:eastAsiaTheme="majorEastAsia" w:hAnsi="Arial" w:cs="Arial"/>
          <w:sz w:val="21"/>
          <w:szCs w:val="21"/>
          <w:lang w:eastAsia="zh-CN"/>
        </w:rPr>
        <w:t xml:space="preserve"> high </w:t>
      </w:r>
      <w:r w:rsidR="00107E96">
        <w:rPr>
          <w:rFonts w:ascii="Arial" w:eastAsiaTheme="majorEastAsia" w:hAnsi="Arial" w:cs="Arial"/>
          <w:sz w:val="21"/>
          <w:szCs w:val="21"/>
          <w:lang w:eastAsia="zh-CN"/>
        </w:rPr>
        <w:t>polarity coating system</w:t>
      </w:r>
      <w:r w:rsidR="00D177A1">
        <w:rPr>
          <w:rFonts w:ascii="Arial" w:eastAsiaTheme="majorEastAsia" w:hAnsi="Arial" w:cs="Arial"/>
          <w:sz w:val="21"/>
          <w:szCs w:val="21"/>
          <w:lang w:eastAsia="zh-CN"/>
        </w:rPr>
        <w:t>s</w:t>
      </w:r>
      <w:r w:rsidR="00107E96">
        <w:rPr>
          <w:rFonts w:ascii="Arial" w:eastAsiaTheme="majorEastAsia" w:hAnsi="Arial" w:cs="Arial"/>
          <w:sz w:val="21"/>
          <w:szCs w:val="21"/>
          <w:lang w:eastAsia="zh-CN"/>
        </w:rPr>
        <w:t>. Good performance in controlling flocculation, especially effect</w:t>
      </w:r>
      <w:r w:rsidR="00D01ED3">
        <w:rPr>
          <w:rFonts w:ascii="Arial" w:eastAsiaTheme="majorEastAsia" w:hAnsi="Arial" w:cs="Arial" w:hint="eastAsia"/>
          <w:sz w:val="21"/>
          <w:szCs w:val="21"/>
          <w:lang w:eastAsia="zh-CN"/>
        </w:rPr>
        <w:t>ive</w:t>
      </w:r>
      <w:r w:rsidR="00107E96">
        <w:rPr>
          <w:rFonts w:ascii="Arial" w:eastAsiaTheme="majorEastAsia" w:hAnsi="Arial" w:cs="Arial"/>
          <w:sz w:val="21"/>
          <w:szCs w:val="21"/>
          <w:lang w:eastAsia="zh-CN"/>
        </w:rPr>
        <w:t xml:space="preserve"> in prevent floating/flooding of titanium dioxide in colored pigments.</w:t>
      </w:r>
    </w:p>
    <w:p w14:paraId="3EFF5A7F" w14:textId="05BEDDDD" w:rsidR="00EE2087" w:rsidRPr="004E40B8" w:rsidRDefault="00BB13C2" w:rsidP="00EE2087">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 xml:space="preserve"> </w:t>
      </w:r>
    </w:p>
    <w:p w14:paraId="5651588A" w14:textId="77777777" w:rsidR="00E85AF0" w:rsidRPr="00045AA7" w:rsidRDefault="003C41BE" w:rsidP="00045AA7">
      <w:pPr>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38AEFF9F" w:rsidR="000542EA" w:rsidRPr="00045AA7" w:rsidRDefault="00107E96" w:rsidP="00045AA7">
            <w:pPr>
              <w:rPr>
                <w:rFonts w:ascii="Arial" w:eastAsiaTheme="majorEastAsia" w:hAnsi="Arial" w:cs="Arial"/>
                <w:sz w:val="21"/>
                <w:szCs w:val="21"/>
                <w:lang w:eastAsia="zh-CN"/>
              </w:rPr>
            </w:pPr>
            <w:r>
              <w:rPr>
                <w:rFonts w:ascii="Arial" w:eastAsiaTheme="majorEastAsia" w:cs="Arial"/>
                <w:sz w:val="21"/>
                <w:szCs w:val="21"/>
                <w:lang w:eastAsia="zh-CN"/>
              </w:rPr>
              <w:t>Yellow</w:t>
            </w:r>
            <w:r w:rsidR="00D177A1">
              <w:rPr>
                <w:rFonts w:ascii="Arial" w:eastAsiaTheme="majorEastAsia" w:cs="Arial"/>
                <w:sz w:val="21"/>
                <w:szCs w:val="21"/>
                <w:lang w:eastAsia="zh-CN"/>
              </w:rPr>
              <w:t>ish</w:t>
            </w:r>
            <w:r>
              <w:rPr>
                <w:rFonts w:ascii="Arial" w:eastAsiaTheme="majorEastAsia" w:cs="Arial"/>
                <w:sz w:val="21"/>
                <w:szCs w:val="21"/>
                <w:lang w:eastAsia="zh-CN"/>
              </w:rPr>
              <w:t xml:space="preserve"> liquid</w:t>
            </w:r>
          </w:p>
        </w:tc>
      </w:tr>
      <w:tr w:rsidR="00C40813" w:rsidRPr="00045AA7" w14:paraId="4AFFD959" w14:textId="77777777" w:rsidTr="004E40B8">
        <w:trPr>
          <w:jc w:val="center"/>
        </w:trPr>
        <w:tc>
          <w:tcPr>
            <w:tcW w:w="4106" w:type="dxa"/>
          </w:tcPr>
          <w:p w14:paraId="26CE5E2D" w14:textId="77777777" w:rsidR="00C40813" w:rsidRPr="00045AA7" w:rsidRDefault="008B68B5"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0968A9E4" w:rsidR="00C40813" w:rsidRPr="00282962" w:rsidRDefault="00107E96" w:rsidP="00045AA7">
            <w:pPr>
              <w:rPr>
                <w:rFonts w:ascii="Arial" w:eastAsiaTheme="majorEastAsia" w:hAnsi="Arial" w:cs="Arial"/>
                <w:sz w:val="21"/>
                <w:szCs w:val="21"/>
                <w:lang w:eastAsia="zh-CN"/>
              </w:rPr>
            </w:pPr>
            <w:r>
              <w:rPr>
                <w:rFonts w:ascii="Arial" w:eastAsiaTheme="majorEastAsia" w:hAnsi="Arial" w:cs="Arial"/>
                <w:sz w:val="21"/>
                <w:szCs w:val="21"/>
                <w:lang w:eastAsia="zh-CN"/>
              </w:rPr>
              <w:t>0.</w:t>
            </w:r>
            <w:r w:rsidR="00D177A1">
              <w:rPr>
                <w:rFonts w:ascii="Arial" w:eastAsiaTheme="majorEastAsia" w:hAnsi="Arial" w:cs="Arial"/>
                <w:sz w:val="21"/>
                <w:szCs w:val="21"/>
                <w:lang w:eastAsia="zh-CN"/>
              </w:rPr>
              <w:t>95</w:t>
            </w:r>
          </w:p>
        </w:tc>
      </w:tr>
      <w:tr w:rsidR="00C40813" w:rsidRPr="00045AA7" w14:paraId="3DC782E6" w14:textId="77777777" w:rsidTr="004E40B8">
        <w:trPr>
          <w:jc w:val="center"/>
        </w:trPr>
        <w:tc>
          <w:tcPr>
            <w:tcW w:w="4106" w:type="dxa"/>
          </w:tcPr>
          <w:p w14:paraId="426ACB57" w14:textId="456522F3" w:rsidR="00C40813" w:rsidRPr="00045AA7" w:rsidRDefault="0053681E" w:rsidP="00045AA7">
            <w:pPr>
              <w:pStyle w:val="ChartData"/>
              <w:spacing w:line="240"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0C34DA1B" w:rsidR="00C40813" w:rsidRPr="00282962" w:rsidRDefault="00107E96" w:rsidP="00045AA7">
            <w:pPr>
              <w:rPr>
                <w:rFonts w:ascii="Arial" w:eastAsiaTheme="majorEastAsia" w:hAnsi="Arial" w:cs="Arial"/>
                <w:sz w:val="21"/>
                <w:szCs w:val="21"/>
                <w:lang w:eastAsia="zh-CN"/>
              </w:rPr>
            </w:pPr>
            <w:r>
              <w:rPr>
                <w:rFonts w:ascii="Arial" w:eastAsiaTheme="majorEastAsia" w:hAnsi="Arial" w:cs="Arial"/>
                <w:sz w:val="21"/>
                <w:szCs w:val="21"/>
                <w:lang w:eastAsia="zh-CN"/>
              </w:rPr>
              <w:t>50</w:t>
            </w:r>
          </w:p>
        </w:tc>
      </w:tr>
      <w:tr w:rsidR="003B0498" w:rsidRPr="00045AA7" w14:paraId="02BC0412" w14:textId="77777777" w:rsidTr="004E40B8">
        <w:trPr>
          <w:jc w:val="center"/>
        </w:trPr>
        <w:tc>
          <w:tcPr>
            <w:tcW w:w="4106" w:type="dxa"/>
          </w:tcPr>
          <w:p w14:paraId="7D7BD218" w14:textId="564B04C9" w:rsidR="003B0498" w:rsidRDefault="00D177A1" w:rsidP="00045AA7">
            <w:pPr>
              <w:pStyle w:val="ChartData"/>
              <w:spacing w:line="240" w:lineRule="auto"/>
              <w:rPr>
                <w:rFonts w:ascii="Arial" w:eastAsiaTheme="majorEastAsia" w:hAnsi="Times New Roman" w:cs="Arial"/>
                <w:noProof w:val="0"/>
                <w:sz w:val="21"/>
                <w:szCs w:val="21"/>
                <w:lang w:eastAsia="zh-CN"/>
              </w:rPr>
            </w:pPr>
            <w:r>
              <w:rPr>
                <w:rFonts w:ascii="Arial" w:eastAsiaTheme="majorEastAsia" w:hAnsi="Times New Roman" w:cs="Arial"/>
                <w:noProof w:val="0"/>
                <w:sz w:val="21"/>
                <w:szCs w:val="21"/>
                <w:lang w:eastAsia="zh-CN"/>
              </w:rPr>
              <w:t xml:space="preserve">Flash point </w:t>
            </w:r>
            <w:r w:rsidR="003B0498">
              <w:rPr>
                <w:rFonts w:ascii="Arial" w:eastAsiaTheme="majorEastAsia" w:hAnsi="Times New Roman" w:cs="Arial"/>
                <w:noProof w:val="0"/>
                <w:sz w:val="21"/>
                <w:szCs w:val="21"/>
                <w:lang w:eastAsia="zh-CN"/>
              </w:rPr>
              <w:t>(</w:t>
            </w:r>
            <w:r w:rsidR="003B0498">
              <w:rPr>
                <w:rFonts w:ascii="Arial" w:eastAsiaTheme="majorEastAsia" w:hAnsi="Times New Roman" w:cs="Arial" w:hint="eastAsia"/>
                <w:noProof w:val="0"/>
                <w:sz w:val="21"/>
                <w:szCs w:val="21"/>
                <w:lang w:eastAsia="zh-CN"/>
              </w:rPr>
              <w:t>℃</w:t>
            </w:r>
            <w:r w:rsidR="003B0498">
              <w:rPr>
                <w:rFonts w:ascii="Arial" w:eastAsiaTheme="majorEastAsia" w:hAnsi="Times New Roman" w:cs="Arial"/>
                <w:noProof w:val="0"/>
                <w:sz w:val="21"/>
                <w:szCs w:val="21"/>
                <w:lang w:eastAsia="zh-CN"/>
              </w:rPr>
              <w:t>)</w:t>
            </w:r>
          </w:p>
        </w:tc>
        <w:tc>
          <w:tcPr>
            <w:tcW w:w="4111" w:type="dxa"/>
          </w:tcPr>
          <w:p w14:paraId="1237D390" w14:textId="2263571B" w:rsidR="003B0498" w:rsidRDefault="00D177A1" w:rsidP="00045AA7">
            <w:pPr>
              <w:rPr>
                <w:rFonts w:ascii="Arial" w:eastAsiaTheme="majorEastAsia" w:hAnsi="Arial" w:cs="Arial"/>
                <w:sz w:val="21"/>
                <w:szCs w:val="21"/>
                <w:lang w:eastAsia="zh-CN"/>
              </w:rPr>
            </w:pPr>
            <w:r>
              <w:rPr>
                <w:rFonts w:ascii="Arial" w:eastAsiaTheme="majorEastAsia" w:hAnsi="Arial" w:cs="Arial"/>
                <w:sz w:val="21"/>
                <w:szCs w:val="21"/>
                <w:lang w:eastAsia="zh-CN"/>
              </w:rPr>
              <w:t>75</w:t>
            </w:r>
          </w:p>
        </w:tc>
      </w:tr>
    </w:tbl>
    <w:p w14:paraId="490614FD" w14:textId="7A0848BC" w:rsidR="009D4350" w:rsidRDefault="00456A87" w:rsidP="004E40B8">
      <w:pPr>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4E40B8">
      <w:pPr>
        <w:ind w:firstLine="420"/>
        <w:rPr>
          <w:rFonts w:ascii="Arial" w:eastAsia="楷体" w:hAnsi="Arial" w:cs="Arial"/>
          <w:sz w:val="18"/>
          <w:szCs w:val="18"/>
          <w:lang w:eastAsia="zh-CN"/>
        </w:rPr>
      </w:pPr>
    </w:p>
    <w:p w14:paraId="0960049B" w14:textId="77777777" w:rsidR="003C41BE" w:rsidRPr="00AD2C17" w:rsidRDefault="003C41BE" w:rsidP="003C41BE">
      <w:pPr>
        <w:spacing w:line="312"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0436A2F" w14:textId="5E2F2792" w:rsidR="00A11474" w:rsidRDefault="00F61270" w:rsidP="00F750DC">
      <w:pPr>
        <w:spacing w:line="312" w:lineRule="auto"/>
        <w:jc w:val="both"/>
        <w:rPr>
          <w:rFonts w:ascii="Arial" w:eastAsiaTheme="majorEastAsia" w:hAnsi="Arial" w:cs="Arial"/>
          <w:bCs/>
          <w:sz w:val="21"/>
          <w:szCs w:val="21"/>
          <w:lang w:eastAsia="zh-CN"/>
        </w:rPr>
      </w:pPr>
      <w:r w:rsidRPr="00045AA7">
        <w:rPr>
          <w:rFonts w:ascii="Arial" w:eastAsiaTheme="majorEastAsia" w:hAnsi="Arial" w:cs="Arial"/>
          <w:b/>
          <w:sz w:val="21"/>
          <w:szCs w:val="21"/>
          <w:lang w:eastAsia="zh-CN"/>
        </w:rPr>
        <w:t xml:space="preserve">Coadd™ </w:t>
      </w:r>
      <w:r w:rsidR="00DB5876">
        <w:rPr>
          <w:rFonts w:ascii="Arial" w:eastAsiaTheme="majorEastAsia" w:hAnsi="Arial" w:cs="Arial"/>
          <w:b/>
          <w:sz w:val="21"/>
          <w:szCs w:val="21"/>
          <w:lang w:eastAsia="zh-CN"/>
        </w:rPr>
        <w:t>D</w:t>
      </w:r>
      <w:r w:rsidR="00A11474">
        <w:rPr>
          <w:rFonts w:ascii="Arial" w:eastAsiaTheme="majorEastAsia" w:hAnsi="Arial" w:cs="Arial"/>
          <w:b/>
          <w:sz w:val="21"/>
          <w:szCs w:val="21"/>
          <w:lang w:eastAsia="zh-CN"/>
        </w:rPr>
        <w:t>O-1050</w:t>
      </w:r>
      <w:r w:rsidR="003C41BE">
        <w:rPr>
          <w:rFonts w:ascii="Arial" w:eastAsiaTheme="majorEastAsia" w:hAnsi="Arial" w:cs="Arial" w:hint="eastAsia"/>
          <w:b/>
          <w:sz w:val="21"/>
          <w:szCs w:val="21"/>
          <w:lang w:eastAsia="zh-CN"/>
        </w:rPr>
        <w:t xml:space="preserve"> </w:t>
      </w:r>
      <w:r w:rsidR="00A11474">
        <w:rPr>
          <w:rFonts w:ascii="Arial" w:eastAsiaTheme="majorEastAsia" w:hAnsi="Arial" w:cs="Arial"/>
          <w:bCs/>
          <w:sz w:val="21"/>
          <w:szCs w:val="21"/>
          <w:lang w:eastAsia="zh-CN"/>
        </w:rPr>
        <w:t>is capable of forming a 3-D networks between pigment particles, particularly effective in controlling flocculation of pigments, thus prevents floating and flooding, making the coating have good settling and sagging performance</w:t>
      </w:r>
      <w:r w:rsidR="00910803">
        <w:rPr>
          <w:rFonts w:ascii="Arial" w:eastAsiaTheme="majorEastAsia" w:hAnsi="Arial" w:cs="Arial"/>
          <w:bCs/>
          <w:sz w:val="21"/>
          <w:szCs w:val="21"/>
          <w:lang w:eastAsia="zh-CN"/>
        </w:rPr>
        <w:t xml:space="preserve"> especially in titanium oxides</w:t>
      </w:r>
      <w:r w:rsidR="00A11474">
        <w:rPr>
          <w:rFonts w:ascii="Arial" w:eastAsiaTheme="majorEastAsia" w:hAnsi="Arial" w:cs="Arial"/>
          <w:bCs/>
          <w:sz w:val="21"/>
          <w:szCs w:val="21"/>
          <w:lang w:eastAsia="zh-CN"/>
        </w:rPr>
        <w:t>.</w:t>
      </w:r>
      <w:r w:rsidR="002A454B">
        <w:rPr>
          <w:rFonts w:ascii="Arial" w:eastAsiaTheme="majorEastAsia" w:hAnsi="Arial" w:cs="Arial"/>
          <w:bCs/>
          <w:sz w:val="21"/>
          <w:szCs w:val="21"/>
          <w:lang w:eastAsia="zh-CN"/>
        </w:rPr>
        <w:t xml:space="preserve"> </w:t>
      </w:r>
      <w:r w:rsidR="00910803">
        <w:rPr>
          <w:rFonts w:ascii="Arial" w:eastAsiaTheme="majorEastAsia" w:hAnsi="Arial" w:cs="Arial"/>
          <w:bCs/>
          <w:sz w:val="21"/>
          <w:szCs w:val="21"/>
          <w:lang w:eastAsia="zh-CN"/>
        </w:rPr>
        <w:t>Limited compatibility with white spirit.</w:t>
      </w:r>
    </w:p>
    <w:p w14:paraId="7B7F2394" w14:textId="77777777" w:rsidR="00910803" w:rsidRDefault="00F25148" w:rsidP="00F750DC">
      <w:pPr>
        <w:spacing w:line="312" w:lineRule="auto"/>
        <w:jc w:val="both"/>
        <w:rPr>
          <w:rFonts w:ascii="Arial" w:eastAsiaTheme="majorEastAsia" w:hAnsi="Arial" w:cs="Arial"/>
          <w:bCs/>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p>
    <w:p w14:paraId="7F028BB7" w14:textId="22CB1114" w:rsidR="00910803" w:rsidRDefault="00910803" w:rsidP="00F750DC">
      <w:pPr>
        <w:spacing w:line="312" w:lineRule="auto"/>
        <w:jc w:val="both"/>
        <w:rPr>
          <w:rFonts w:ascii="Arial" w:eastAsiaTheme="majorEastAsia" w:hAnsi="Arial" w:cs="Arial"/>
          <w:sz w:val="21"/>
          <w:szCs w:val="21"/>
          <w:lang w:eastAsia="zh-CN"/>
        </w:rPr>
      </w:pPr>
      <w:r>
        <w:rPr>
          <w:rFonts w:ascii="Arial" w:eastAsiaTheme="majorEastAsia" w:hAnsi="Arial" w:cs="Arial"/>
          <w:bCs/>
          <w:sz w:val="21"/>
          <w:szCs w:val="21"/>
          <w:lang w:eastAsia="zh-CN"/>
        </w:rPr>
        <w:t xml:space="preserve">Titanium dioxides: </w:t>
      </w:r>
      <w:r w:rsidR="00F25148">
        <w:rPr>
          <w:rFonts w:ascii="Arial" w:eastAsiaTheme="majorEastAsia" w:hAnsi="Arial" w:cs="Arial" w:hint="eastAsia"/>
          <w:bCs/>
          <w:sz w:val="21"/>
          <w:szCs w:val="21"/>
          <w:lang w:eastAsia="zh-CN"/>
        </w:rPr>
        <w:t>0</w:t>
      </w:r>
      <w:r>
        <w:rPr>
          <w:rFonts w:ascii="Arial" w:eastAsiaTheme="majorEastAsia" w:hAnsi="Arial" w:cs="Arial"/>
          <w:bCs/>
          <w:sz w:val="21"/>
          <w:szCs w:val="21"/>
          <w:lang w:eastAsia="zh-CN"/>
        </w:rPr>
        <w:t>.5</w:t>
      </w:r>
      <w:r w:rsidR="00F25148">
        <w:rPr>
          <w:rFonts w:ascii="Arial" w:eastAsiaTheme="majorEastAsia" w:hAnsi="Arial" w:cs="Arial"/>
          <w:sz w:val="21"/>
          <w:szCs w:val="21"/>
          <w:lang w:eastAsia="zh-CN"/>
        </w:rPr>
        <w:t xml:space="preserve"> </w:t>
      </w:r>
      <w:r w:rsidR="00D01ED3">
        <w:rPr>
          <w:rFonts w:ascii="Arial" w:eastAsiaTheme="majorEastAsia" w:hAnsi="Arial" w:cs="Arial"/>
          <w:sz w:val="21"/>
          <w:szCs w:val="21"/>
          <w:lang w:eastAsia="zh-CN"/>
        </w:rPr>
        <w:t>-</w:t>
      </w:r>
      <w:r w:rsidR="00F25148">
        <w:rPr>
          <w:rFonts w:ascii="Arial" w:eastAsiaTheme="majorEastAsia" w:hAnsi="Arial" w:cs="Arial"/>
          <w:sz w:val="21"/>
          <w:szCs w:val="21"/>
          <w:lang w:eastAsia="zh-CN"/>
        </w:rPr>
        <w:t xml:space="preserve"> </w:t>
      </w:r>
      <w:r>
        <w:rPr>
          <w:rFonts w:ascii="Arial" w:eastAsiaTheme="majorEastAsia" w:hAnsi="Arial" w:cs="Arial"/>
          <w:sz w:val="21"/>
          <w:szCs w:val="21"/>
          <w:lang w:eastAsia="zh-CN"/>
        </w:rPr>
        <w:t>2.5</w:t>
      </w:r>
      <w:r w:rsidR="00F25148">
        <w:rPr>
          <w:rFonts w:ascii="Arial" w:eastAsiaTheme="majorEastAsia" w:hAnsi="Arial" w:cs="Arial"/>
          <w:sz w:val="21"/>
          <w:szCs w:val="21"/>
          <w:lang w:eastAsia="zh-CN"/>
        </w:rPr>
        <w:t>%</w:t>
      </w:r>
    </w:p>
    <w:p w14:paraId="20F295E0" w14:textId="0ED6C2D9" w:rsidR="00910803" w:rsidRDefault="00910803"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I</w:t>
      </w:r>
      <w:r>
        <w:rPr>
          <w:rFonts w:ascii="Arial" w:eastAsiaTheme="majorEastAsia" w:hAnsi="Arial" w:cs="Arial"/>
          <w:sz w:val="21"/>
          <w:szCs w:val="21"/>
          <w:lang w:eastAsia="zh-CN"/>
        </w:rPr>
        <w:t>norganic pigments: 3</w:t>
      </w:r>
      <w:r w:rsidR="00D01ED3">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D01ED3">
        <w:rPr>
          <w:rFonts w:ascii="Arial" w:eastAsiaTheme="majorEastAsia" w:hAnsi="Arial" w:cs="Arial"/>
          <w:sz w:val="21"/>
          <w:szCs w:val="21"/>
          <w:lang w:eastAsia="zh-CN"/>
        </w:rPr>
        <w:t xml:space="preserve"> </w:t>
      </w:r>
      <w:r>
        <w:rPr>
          <w:rFonts w:ascii="Arial" w:eastAsiaTheme="majorEastAsia" w:hAnsi="Arial" w:cs="Arial"/>
          <w:sz w:val="21"/>
          <w:szCs w:val="21"/>
          <w:lang w:eastAsia="zh-CN"/>
        </w:rPr>
        <w:t>10%</w:t>
      </w:r>
    </w:p>
    <w:p w14:paraId="19949B08" w14:textId="3587912C" w:rsidR="00910803" w:rsidRDefault="00910803" w:rsidP="00F750DC">
      <w:pPr>
        <w:spacing w:line="312" w:lineRule="auto"/>
        <w:jc w:val="both"/>
        <w:rPr>
          <w:rFonts w:ascii="Arial" w:eastAsiaTheme="majorEastAsia" w:hAnsi="Arial" w:cs="Arial"/>
          <w:sz w:val="21"/>
          <w:szCs w:val="21"/>
          <w:lang w:eastAsia="zh-CN"/>
        </w:rPr>
      </w:pPr>
      <w:r>
        <w:rPr>
          <w:rFonts w:ascii="Arial" w:eastAsiaTheme="majorEastAsia" w:hAnsi="Arial" w:cs="Arial" w:hint="eastAsia"/>
          <w:sz w:val="21"/>
          <w:szCs w:val="21"/>
          <w:lang w:eastAsia="zh-CN"/>
        </w:rPr>
        <w:t>O</w:t>
      </w:r>
      <w:r>
        <w:rPr>
          <w:rFonts w:ascii="Arial" w:eastAsiaTheme="majorEastAsia" w:hAnsi="Arial" w:cs="Arial"/>
          <w:sz w:val="21"/>
          <w:szCs w:val="21"/>
          <w:lang w:eastAsia="zh-CN"/>
        </w:rPr>
        <w:t>rganic pigments: 10</w:t>
      </w:r>
      <w:r w:rsidR="00D01ED3">
        <w:rPr>
          <w:rFonts w:ascii="Arial" w:eastAsiaTheme="majorEastAsia" w:hAnsi="Arial" w:cs="Arial"/>
          <w:sz w:val="21"/>
          <w:szCs w:val="21"/>
          <w:lang w:eastAsia="zh-CN"/>
        </w:rPr>
        <w:t xml:space="preserve"> </w:t>
      </w:r>
      <w:r>
        <w:rPr>
          <w:rFonts w:ascii="Arial" w:eastAsiaTheme="majorEastAsia" w:hAnsi="Arial" w:cs="Arial"/>
          <w:sz w:val="21"/>
          <w:szCs w:val="21"/>
          <w:lang w:eastAsia="zh-CN"/>
        </w:rPr>
        <w:t>-</w:t>
      </w:r>
      <w:r w:rsidR="00D01ED3">
        <w:rPr>
          <w:rFonts w:ascii="Arial" w:eastAsiaTheme="majorEastAsia" w:hAnsi="Arial" w:cs="Arial"/>
          <w:sz w:val="21"/>
          <w:szCs w:val="21"/>
          <w:lang w:eastAsia="zh-CN"/>
        </w:rPr>
        <w:t xml:space="preserve"> </w:t>
      </w:r>
      <w:r>
        <w:rPr>
          <w:rFonts w:ascii="Arial" w:eastAsiaTheme="majorEastAsia" w:hAnsi="Arial" w:cs="Arial"/>
          <w:sz w:val="21"/>
          <w:szCs w:val="21"/>
          <w:lang w:eastAsia="zh-CN"/>
        </w:rPr>
        <w:t>20%</w:t>
      </w:r>
    </w:p>
    <w:p w14:paraId="13317990" w14:textId="4569983F" w:rsidR="00F25148" w:rsidRPr="004B7D22" w:rsidRDefault="004B7D22" w:rsidP="00F750DC">
      <w:pPr>
        <w:spacing w:line="312" w:lineRule="auto"/>
        <w:jc w:val="both"/>
        <w:rPr>
          <w:rFonts w:ascii="Arial" w:eastAsiaTheme="majorEastAsia" w:hAnsi="Arial" w:cs="Arial"/>
          <w:sz w:val="21"/>
          <w:szCs w:val="21"/>
          <w:lang w:eastAsia="zh-CN"/>
        </w:rPr>
      </w:pPr>
      <w:r>
        <w:rPr>
          <w:rFonts w:ascii="Arial" w:eastAsiaTheme="majorEastAsia" w:hAnsi="Arial" w:cs="Arial"/>
          <w:sz w:val="21"/>
          <w:szCs w:val="21"/>
          <w:lang w:eastAsia="zh-CN"/>
        </w:rPr>
        <w:t>Optimal levels are determined through laboratory tests.</w:t>
      </w:r>
    </w:p>
    <w:p w14:paraId="10A2B164"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4E40B8">
      <w:pPr>
        <w:spacing w:line="312"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456A87">
      <w:pPr>
        <w:spacing w:line="312"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4E40B8">
      <w:pPr>
        <w:spacing w:line="312" w:lineRule="auto"/>
        <w:rPr>
          <w:rFonts w:ascii="Arial" w:eastAsia="宋体" w:hAnsi="Arial" w:cs="Arial"/>
          <w:b/>
          <w:bCs/>
          <w:szCs w:val="28"/>
          <w:lang w:eastAsia="zh-CN"/>
        </w:rPr>
      </w:pPr>
      <w:r w:rsidRPr="001E2A07">
        <w:rPr>
          <w:rFonts w:ascii="Arial" w:eastAsia="宋体" w:hAnsi="Arial" w:cs="Arial"/>
          <w:sz w:val="21"/>
          <w:szCs w:val="22"/>
          <w:lang w:eastAsia="zh-CN"/>
        </w:rPr>
        <w:t xml:space="preserve">It is common proposal for product usage and demand above information based on our professional knowledge. Due to environmental uncertainty and out of our control from practical process, please test and make evaluation ahead of use to ensure efficient and </w:t>
      </w:r>
      <w:r w:rsidRPr="001E2A07">
        <w:rPr>
          <w:rFonts w:ascii="Arial" w:eastAsia="宋体" w:hAnsi="Arial" w:cs="Arial"/>
          <w:sz w:val="21"/>
          <w:szCs w:val="22"/>
          <w:lang w:eastAsia="zh-CN"/>
        </w:rPr>
        <w:lastRenderedPageBreak/>
        <w:t>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4E40B8">
      <w:pPr>
        <w:spacing w:line="360" w:lineRule="auto"/>
        <w:jc w:val="center"/>
        <w:rPr>
          <w:rFonts w:ascii="宋体" w:eastAsia="宋体" w:hAnsi="宋体"/>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BEB5" w14:textId="77777777" w:rsidR="00583978" w:rsidRDefault="00583978" w:rsidP="00D67962">
      <w:r>
        <w:separator/>
      </w:r>
    </w:p>
  </w:endnote>
  <w:endnote w:type="continuationSeparator" w:id="0">
    <w:p w14:paraId="1BFE4D5E" w14:textId="77777777" w:rsidR="00583978" w:rsidRDefault="00583978"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22DA" w14:textId="77777777" w:rsidR="00583978" w:rsidRDefault="00583978" w:rsidP="00D67962">
      <w:r>
        <w:separator/>
      </w:r>
    </w:p>
  </w:footnote>
  <w:footnote w:type="continuationSeparator" w:id="0">
    <w:p w14:paraId="1EA56F4B" w14:textId="77777777" w:rsidR="00583978" w:rsidRDefault="00583978"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730CA"/>
    <w:rsid w:val="00085F2B"/>
    <w:rsid w:val="000872F4"/>
    <w:rsid w:val="00094A57"/>
    <w:rsid w:val="000A4C54"/>
    <w:rsid w:val="000C0F82"/>
    <w:rsid w:val="000D4635"/>
    <w:rsid w:val="000E0A01"/>
    <w:rsid w:val="000E4765"/>
    <w:rsid w:val="00101AF7"/>
    <w:rsid w:val="00105DE9"/>
    <w:rsid w:val="00107E96"/>
    <w:rsid w:val="00122A34"/>
    <w:rsid w:val="00127223"/>
    <w:rsid w:val="00127CCD"/>
    <w:rsid w:val="001512CC"/>
    <w:rsid w:val="001609A4"/>
    <w:rsid w:val="00160D17"/>
    <w:rsid w:val="00182722"/>
    <w:rsid w:val="001A02D0"/>
    <w:rsid w:val="001B6C7F"/>
    <w:rsid w:val="001B7A0E"/>
    <w:rsid w:val="001C441C"/>
    <w:rsid w:val="001C7285"/>
    <w:rsid w:val="001D0977"/>
    <w:rsid w:val="001D3213"/>
    <w:rsid w:val="001D3FAC"/>
    <w:rsid w:val="0020482B"/>
    <w:rsid w:val="002107AB"/>
    <w:rsid w:val="0021101E"/>
    <w:rsid w:val="0021371F"/>
    <w:rsid w:val="00215E8B"/>
    <w:rsid w:val="002176ED"/>
    <w:rsid w:val="00221A70"/>
    <w:rsid w:val="00222C6F"/>
    <w:rsid w:val="002264A7"/>
    <w:rsid w:val="00231BB0"/>
    <w:rsid w:val="0025500F"/>
    <w:rsid w:val="00270BA7"/>
    <w:rsid w:val="00271FDF"/>
    <w:rsid w:val="00276A9A"/>
    <w:rsid w:val="00276C4F"/>
    <w:rsid w:val="00282962"/>
    <w:rsid w:val="002A454B"/>
    <w:rsid w:val="002A5CCC"/>
    <w:rsid w:val="002B6F13"/>
    <w:rsid w:val="002C6284"/>
    <w:rsid w:val="002D676D"/>
    <w:rsid w:val="002F4ABF"/>
    <w:rsid w:val="00300D00"/>
    <w:rsid w:val="0030597C"/>
    <w:rsid w:val="00323F25"/>
    <w:rsid w:val="00333B25"/>
    <w:rsid w:val="003359F7"/>
    <w:rsid w:val="0035316F"/>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47BA7"/>
    <w:rsid w:val="00454E3A"/>
    <w:rsid w:val="00456A87"/>
    <w:rsid w:val="00457A83"/>
    <w:rsid w:val="004847AE"/>
    <w:rsid w:val="00494163"/>
    <w:rsid w:val="004960DB"/>
    <w:rsid w:val="004977A9"/>
    <w:rsid w:val="004A1610"/>
    <w:rsid w:val="004B4D7A"/>
    <w:rsid w:val="004B7D22"/>
    <w:rsid w:val="004D2009"/>
    <w:rsid w:val="004D408A"/>
    <w:rsid w:val="004E14DC"/>
    <w:rsid w:val="004E40B8"/>
    <w:rsid w:val="004F18B7"/>
    <w:rsid w:val="004F3127"/>
    <w:rsid w:val="00511752"/>
    <w:rsid w:val="00532EAA"/>
    <w:rsid w:val="0053681E"/>
    <w:rsid w:val="005556D2"/>
    <w:rsid w:val="005726DC"/>
    <w:rsid w:val="00576426"/>
    <w:rsid w:val="00583978"/>
    <w:rsid w:val="00594ECE"/>
    <w:rsid w:val="005A0D71"/>
    <w:rsid w:val="005B567B"/>
    <w:rsid w:val="005C288F"/>
    <w:rsid w:val="005C2B6F"/>
    <w:rsid w:val="005D1362"/>
    <w:rsid w:val="00607FF1"/>
    <w:rsid w:val="00610704"/>
    <w:rsid w:val="00626826"/>
    <w:rsid w:val="0063397B"/>
    <w:rsid w:val="00633E53"/>
    <w:rsid w:val="00640E62"/>
    <w:rsid w:val="006504F3"/>
    <w:rsid w:val="006637FD"/>
    <w:rsid w:val="00666721"/>
    <w:rsid w:val="00683CE9"/>
    <w:rsid w:val="0069038D"/>
    <w:rsid w:val="00693332"/>
    <w:rsid w:val="006A259B"/>
    <w:rsid w:val="006A5C0E"/>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1AC3"/>
    <w:rsid w:val="007C79A1"/>
    <w:rsid w:val="007E58EA"/>
    <w:rsid w:val="007F381B"/>
    <w:rsid w:val="00806967"/>
    <w:rsid w:val="00810332"/>
    <w:rsid w:val="008135B7"/>
    <w:rsid w:val="0082166E"/>
    <w:rsid w:val="00823B3F"/>
    <w:rsid w:val="00827D31"/>
    <w:rsid w:val="0084354B"/>
    <w:rsid w:val="00852B13"/>
    <w:rsid w:val="00864D37"/>
    <w:rsid w:val="00874152"/>
    <w:rsid w:val="008774A1"/>
    <w:rsid w:val="00885FEB"/>
    <w:rsid w:val="008A39BD"/>
    <w:rsid w:val="008A6F3E"/>
    <w:rsid w:val="008B043F"/>
    <w:rsid w:val="008B1EA5"/>
    <w:rsid w:val="008B68B5"/>
    <w:rsid w:val="008C4875"/>
    <w:rsid w:val="008D0242"/>
    <w:rsid w:val="008D7501"/>
    <w:rsid w:val="008E0278"/>
    <w:rsid w:val="008E4C47"/>
    <w:rsid w:val="008F1851"/>
    <w:rsid w:val="008F3A20"/>
    <w:rsid w:val="00902362"/>
    <w:rsid w:val="00910803"/>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11474"/>
    <w:rsid w:val="00A24C73"/>
    <w:rsid w:val="00A27069"/>
    <w:rsid w:val="00A34278"/>
    <w:rsid w:val="00A47075"/>
    <w:rsid w:val="00A505C5"/>
    <w:rsid w:val="00A50C2C"/>
    <w:rsid w:val="00A52A99"/>
    <w:rsid w:val="00A55770"/>
    <w:rsid w:val="00A56D19"/>
    <w:rsid w:val="00A773AA"/>
    <w:rsid w:val="00A7762C"/>
    <w:rsid w:val="00A83704"/>
    <w:rsid w:val="00A855C6"/>
    <w:rsid w:val="00A910B4"/>
    <w:rsid w:val="00A950A0"/>
    <w:rsid w:val="00AB53AB"/>
    <w:rsid w:val="00AB6C59"/>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723F7"/>
    <w:rsid w:val="00BA043D"/>
    <w:rsid w:val="00BA0C54"/>
    <w:rsid w:val="00BA24A0"/>
    <w:rsid w:val="00BB13C2"/>
    <w:rsid w:val="00BB3745"/>
    <w:rsid w:val="00BB3FF9"/>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F6E4E"/>
    <w:rsid w:val="00D01ED3"/>
    <w:rsid w:val="00D063DF"/>
    <w:rsid w:val="00D146AE"/>
    <w:rsid w:val="00D177A1"/>
    <w:rsid w:val="00D245A9"/>
    <w:rsid w:val="00D27E27"/>
    <w:rsid w:val="00D43830"/>
    <w:rsid w:val="00D56D44"/>
    <w:rsid w:val="00D67962"/>
    <w:rsid w:val="00D869E0"/>
    <w:rsid w:val="00DA116D"/>
    <w:rsid w:val="00DA78B8"/>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665DC"/>
    <w:rsid w:val="00E709CD"/>
    <w:rsid w:val="00E85AF0"/>
    <w:rsid w:val="00EA307C"/>
    <w:rsid w:val="00EC05B6"/>
    <w:rsid w:val="00EC096A"/>
    <w:rsid w:val="00EC7367"/>
    <w:rsid w:val="00ED3631"/>
    <w:rsid w:val="00EE1A20"/>
    <w:rsid w:val="00EE2087"/>
    <w:rsid w:val="00F20FB2"/>
    <w:rsid w:val="00F24C22"/>
    <w:rsid w:val="00F25148"/>
    <w:rsid w:val="00F34352"/>
    <w:rsid w:val="00F476CA"/>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HI</cp:lastModifiedBy>
  <cp:revision>6</cp:revision>
  <cp:lastPrinted>2022-06-27T05:07:00Z</cp:lastPrinted>
  <dcterms:created xsi:type="dcterms:W3CDTF">2022-08-28T15:58:00Z</dcterms:created>
  <dcterms:modified xsi:type="dcterms:W3CDTF">2022-08-31T18:12:00Z</dcterms:modified>
</cp:coreProperties>
</file>