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32B4" w14:textId="345DF0C8" w:rsidR="00E85AF0" w:rsidRPr="00B66588" w:rsidRDefault="0012123D" w:rsidP="00385067">
      <w:pPr>
        <w:pStyle w:val="ProductName"/>
        <w:tabs>
          <w:tab w:val="left" w:pos="93"/>
        </w:tabs>
        <w:spacing w:beforeLines="30" w:before="97" w:line="276" w:lineRule="auto"/>
        <w:jc w:val="center"/>
        <w:rPr>
          <w:rFonts w:ascii="Arial" w:eastAsiaTheme="majorEastAsia" w:hAnsi="Arial" w:cs="Arial"/>
          <w:b/>
          <w:sz w:val="30"/>
          <w:szCs w:val="30"/>
          <w:lang w:eastAsia="zh-TW"/>
        </w:rPr>
      </w:pPr>
      <w:r>
        <w:rPr>
          <w:rFonts w:ascii="Arial" w:eastAsiaTheme="majorEastAsia" w:hAnsi="Arial" w:cs="Arial" w:hint="eastAsia"/>
          <w:b/>
          <w:sz w:val="30"/>
          <w:szCs w:val="30"/>
          <w:lang w:eastAsia="zh-CN"/>
        </w:rPr>
        <w:t>Coadd</w:t>
      </w:r>
      <w:r>
        <w:rPr>
          <w:rFonts w:ascii="Arial" w:eastAsiaTheme="majorEastAsia" w:hAnsi="Arial" w:cs="Arial" w:hint="eastAsia"/>
          <w:b/>
          <w:sz w:val="30"/>
          <w:szCs w:val="30"/>
          <w:lang w:eastAsia="zh-CN"/>
        </w:rPr>
        <w:t>™</w:t>
      </w:r>
      <w:r>
        <w:rPr>
          <w:rFonts w:ascii="Arial" w:eastAsiaTheme="majorEastAsia" w:hAnsi="Arial" w:cs="Arial" w:hint="eastAsia"/>
          <w:b/>
          <w:sz w:val="30"/>
          <w:szCs w:val="30"/>
          <w:lang w:eastAsia="zh-CN"/>
        </w:rPr>
        <w:t xml:space="preserve"> D</w:t>
      </w:r>
      <w:r w:rsidR="00F72CBE">
        <w:rPr>
          <w:rFonts w:ascii="Arial" w:eastAsiaTheme="majorEastAsia" w:hAnsi="Arial" w:cs="Arial" w:hint="eastAsia"/>
          <w:b/>
          <w:sz w:val="30"/>
          <w:szCs w:val="30"/>
          <w:lang w:eastAsia="zh-CN"/>
        </w:rPr>
        <w:t>O</w:t>
      </w:r>
      <w:r>
        <w:rPr>
          <w:rFonts w:ascii="Arial" w:eastAsiaTheme="majorEastAsia" w:hAnsi="Arial" w:cs="Arial" w:hint="eastAsia"/>
          <w:b/>
          <w:sz w:val="30"/>
          <w:szCs w:val="30"/>
          <w:lang w:eastAsia="zh-CN"/>
        </w:rPr>
        <w:t>-6108</w:t>
      </w:r>
    </w:p>
    <w:p w14:paraId="42396DD6" w14:textId="4629D4F6" w:rsidR="00ED3631" w:rsidRPr="00C52036" w:rsidRDefault="000C0F82" w:rsidP="00385067">
      <w:pPr>
        <w:spacing w:line="276" w:lineRule="auto"/>
        <w:jc w:val="center"/>
        <w:rPr>
          <w:rFonts w:ascii="Arial" w:eastAsiaTheme="majorEastAsia" w:hAnsi="Arial" w:cs="Arial"/>
          <w:sz w:val="21"/>
          <w:szCs w:val="21"/>
          <w:lang w:eastAsia="zh-CN"/>
        </w:rPr>
      </w:pPr>
      <w:r w:rsidRPr="00C52036">
        <w:rPr>
          <w:rFonts w:ascii="Arial" w:eastAsiaTheme="majorEastAsia" w:cs="Arial" w:hint="eastAsia"/>
          <w:sz w:val="21"/>
          <w:szCs w:val="21"/>
          <w:lang w:eastAsia="zh-CN"/>
        </w:rPr>
        <w:t>W</w:t>
      </w:r>
      <w:r w:rsidR="00B66588" w:rsidRPr="00C52036">
        <w:rPr>
          <w:rFonts w:ascii="Arial" w:eastAsiaTheme="majorEastAsia" w:cs="Arial"/>
          <w:sz w:val="21"/>
          <w:szCs w:val="21"/>
          <w:lang w:eastAsia="zh-CN"/>
        </w:rPr>
        <w:t>etting and Dispersing Agent</w:t>
      </w:r>
    </w:p>
    <w:p w14:paraId="30379597" w14:textId="77777777" w:rsidR="00E85AF0" w:rsidRPr="00045AA7" w:rsidRDefault="00045AA7" w:rsidP="00385067">
      <w:pPr>
        <w:spacing w:line="276" w:lineRule="auto"/>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3EFF5A7F" w14:textId="12EAF323" w:rsidR="00EE2087" w:rsidRPr="004E40B8" w:rsidRDefault="0012123D" w:rsidP="00385067">
      <w:pPr>
        <w:spacing w:line="276" w:lineRule="auto"/>
        <w:jc w:val="both"/>
        <w:rPr>
          <w:rFonts w:ascii="Arial" w:eastAsiaTheme="majorEastAsia" w:hAnsi="Arial" w:cs="Arial"/>
          <w:sz w:val="21"/>
          <w:szCs w:val="21"/>
          <w:lang w:eastAsia="zh-CN"/>
        </w:rPr>
      </w:pPr>
      <w:r w:rsidRPr="0012123D">
        <w:rPr>
          <w:rFonts w:ascii="Arial" w:eastAsiaTheme="majorEastAsia" w:hAnsi="Arial" w:cs="Arial"/>
          <w:b/>
          <w:sz w:val="21"/>
          <w:szCs w:val="21"/>
          <w:lang w:eastAsia="zh-CN"/>
        </w:rPr>
        <w:t>Coadd™ D</w:t>
      </w:r>
      <w:r w:rsidR="00F72CBE">
        <w:rPr>
          <w:rFonts w:ascii="Arial" w:eastAsiaTheme="majorEastAsia" w:hAnsi="Arial" w:cs="Arial" w:hint="eastAsia"/>
          <w:b/>
          <w:sz w:val="21"/>
          <w:szCs w:val="21"/>
          <w:lang w:eastAsia="zh-CN"/>
        </w:rPr>
        <w:t>O</w:t>
      </w:r>
      <w:r w:rsidRPr="0012123D">
        <w:rPr>
          <w:rFonts w:ascii="Arial" w:eastAsiaTheme="majorEastAsia" w:hAnsi="Arial" w:cs="Arial"/>
          <w:b/>
          <w:sz w:val="21"/>
          <w:szCs w:val="21"/>
          <w:lang w:eastAsia="zh-CN"/>
        </w:rPr>
        <w:t>-6108</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a</w:t>
      </w:r>
      <w:r w:rsidR="00627EE9" w:rsidRPr="00627EE9">
        <w:t xml:space="preserve"> </w:t>
      </w:r>
      <w:r w:rsidR="00944790">
        <w:rPr>
          <w:rFonts w:ascii="Arial" w:eastAsiaTheme="majorEastAsia" w:hAnsi="Arial" w:cs="Arial" w:hint="eastAsia"/>
          <w:sz w:val="21"/>
          <w:szCs w:val="21"/>
          <w:lang w:eastAsia="zh-CN"/>
        </w:rPr>
        <w:t xml:space="preserve">functional carboxylic acid </w:t>
      </w:r>
      <w:r w:rsidR="00627EE9" w:rsidRPr="00627EE9">
        <w:rPr>
          <w:rFonts w:ascii="Arial" w:eastAsiaTheme="majorEastAsia" w:hAnsi="Arial" w:cs="Arial"/>
          <w:sz w:val="21"/>
          <w:szCs w:val="21"/>
          <w:lang w:eastAsia="zh-CN"/>
        </w:rPr>
        <w:t xml:space="preserve">ester </w:t>
      </w:r>
      <w:r w:rsidR="00944790">
        <w:rPr>
          <w:rFonts w:ascii="Arial" w:eastAsiaTheme="majorEastAsia" w:hAnsi="Arial" w:cs="Arial" w:hint="eastAsia"/>
          <w:sz w:val="21"/>
          <w:szCs w:val="21"/>
          <w:lang w:eastAsia="zh-CN"/>
        </w:rPr>
        <w:t>with</w:t>
      </w:r>
      <w:r w:rsidR="00627EE9" w:rsidRPr="00627EE9">
        <w:rPr>
          <w:rFonts w:ascii="Arial" w:eastAsiaTheme="majorEastAsia" w:hAnsi="Arial" w:cs="Arial"/>
          <w:sz w:val="21"/>
          <w:szCs w:val="21"/>
          <w:lang w:eastAsia="zh-CN"/>
        </w:rPr>
        <w:t xml:space="preserve"> pigment </w:t>
      </w:r>
      <w:proofErr w:type="spellStart"/>
      <w:r w:rsidR="00627EE9" w:rsidRPr="00627EE9">
        <w:rPr>
          <w:rFonts w:ascii="Arial" w:eastAsiaTheme="majorEastAsia" w:hAnsi="Arial" w:cs="Arial"/>
          <w:sz w:val="21"/>
          <w:szCs w:val="21"/>
          <w:lang w:eastAsia="zh-CN"/>
        </w:rPr>
        <w:t>affinic</w:t>
      </w:r>
      <w:proofErr w:type="spellEnd"/>
      <w:r w:rsidR="00627EE9" w:rsidRPr="00627EE9">
        <w:rPr>
          <w:rFonts w:ascii="Arial" w:eastAsiaTheme="majorEastAsia" w:hAnsi="Arial" w:cs="Arial"/>
          <w:sz w:val="21"/>
          <w:szCs w:val="21"/>
          <w:lang w:eastAsia="zh-CN"/>
        </w:rPr>
        <w:t xml:space="preserve"> groups</w:t>
      </w:r>
      <w:r w:rsidR="007B3FB5">
        <w:rPr>
          <w:rFonts w:ascii="Arial" w:eastAsiaTheme="majorEastAsia" w:hAnsi="Arial" w:cs="Arial"/>
          <w:sz w:val="21"/>
          <w:szCs w:val="21"/>
          <w:lang w:eastAsia="zh-CN"/>
        </w:rPr>
        <w:t xml:space="preserve">. </w:t>
      </w:r>
      <w:r w:rsidR="00627EE9">
        <w:rPr>
          <w:rFonts w:ascii="Arial" w:eastAsiaTheme="majorEastAsia" w:hAnsi="Arial" w:cs="Arial"/>
          <w:sz w:val="21"/>
          <w:szCs w:val="21"/>
          <w:lang w:eastAsia="zh-CN"/>
        </w:rPr>
        <w:t>The product</w:t>
      </w:r>
      <w:r w:rsidR="007B3FB5">
        <w:rPr>
          <w:rFonts w:ascii="Arial" w:eastAsiaTheme="majorEastAsia" w:hAnsi="Arial" w:cs="Arial"/>
          <w:sz w:val="21"/>
          <w:szCs w:val="21"/>
          <w:lang w:eastAsia="zh-CN"/>
        </w:rPr>
        <w:t xml:space="preserve"> is suitable for solvent-borne </w:t>
      </w:r>
      <w:r w:rsidR="00627EE9">
        <w:rPr>
          <w:rFonts w:ascii="Arial" w:eastAsiaTheme="majorEastAsia" w:hAnsi="Arial" w:cs="Arial"/>
          <w:sz w:val="21"/>
          <w:szCs w:val="21"/>
          <w:lang w:eastAsia="zh-CN"/>
        </w:rPr>
        <w:t>and solvent-free coating systems, especially effective in stabilizing pigments in non-polar systems, such as acrylates, alkyds and epoxides.</w:t>
      </w:r>
    </w:p>
    <w:p w14:paraId="5651588A" w14:textId="77777777" w:rsidR="00E85AF0" w:rsidRPr="00045AA7" w:rsidRDefault="003C41BE" w:rsidP="00385067">
      <w:pPr>
        <w:spacing w:line="276" w:lineRule="auto"/>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385067">
            <w:pPr>
              <w:pStyle w:val="ChartData"/>
              <w:spacing w:line="276"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11842E8E" w:rsidR="000542EA" w:rsidRPr="00045AA7" w:rsidRDefault="00F070AC" w:rsidP="00385067">
            <w:pPr>
              <w:spacing w:line="276" w:lineRule="auto"/>
              <w:rPr>
                <w:rFonts w:ascii="Arial" w:eastAsiaTheme="majorEastAsia" w:hAnsi="Arial" w:cs="Arial"/>
                <w:sz w:val="21"/>
                <w:szCs w:val="21"/>
                <w:lang w:eastAsia="zh-CN"/>
              </w:rPr>
            </w:pPr>
            <w:r>
              <w:rPr>
                <w:rFonts w:ascii="Arial" w:eastAsiaTheme="majorEastAsia" w:cs="Arial" w:hint="eastAsia"/>
                <w:sz w:val="21"/>
                <w:szCs w:val="21"/>
                <w:lang w:eastAsia="zh-CN"/>
              </w:rPr>
              <w:t>Yellow</w:t>
            </w:r>
            <w:r>
              <w:rPr>
                <w:rFonts w:ascii="Arial" w:eastAsiaTheme="majorEastAsia" w:cs="Arial"/>
                <w:sz w:val="21"/>
                <w:szCs w:val="21"/>
                <w:lang w:eastAsia="zh-CN"/>
              </w:rPr>
              <w:t xml:space="preserve"> </w:t>
            </w:r>
            <w:r>
              <w:rPr>
                <w:rFonts w:ascii="Arial" w:eastAsiaTheme="majorEastAsia" w:cs="Arial" w:hint="eastAsia"/>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385067">
            <w:pPr>
              <w:pStyle w:val="ChartData"/>
              <w:spacing w:line="276"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2B281BD2" w:rsidR="00C40813" w:rsidRPr="00282962" w:rsidRDefault="00627EE9" w:rsidP="00385067">
            <w:pPr>
              <w:spacing w:line="276" w:lineRule="auto"/>
              <w:rPr>
                <w:rFonts w:ascii="Arial" w:eastAsiaTheme="majorEastAsia" w:hAnsi="Arial" w:cs="Arial"/>
                <w:sz w:val="21"/>
                <w:szCs w:val="21"/>
                <w:lang w:eastAsia="zh-CN"/>
              </w:rPr>
            </w:pPr>
            <w:r>
              <w:rPr>
                <w:rFonts w:ascii="Arial" w:eastAsiaTheme="majorEastAsia" w:hAnsi="Arial" w:cs="Arial"/>
                <w:sz w:val="21"/>
                <w:szCs w:val="21"/>
                <w:lang w:eastAsia="zh-CN"/>
              </w:rPr>
              <w:t>1.0</w:t>
            </w:r>
            <w:r w:rsidR="00385067">
              <w:rPr>
                <w:rFonts w:ascii="Arial" w:eastAsiaTheme="majorEastAsia" w:hAnsi="Arial" w:cs="Arial" w:hint="eastAsia"/>
                <w:sz w:val="21"/>
                <w:szCs w:val="21"/>
                <w:lang w:eastAsia="zh-CN"/>
              </w:rPr>
              <w:t>5</w:t>
            </w:r>
          </w:p>
        </w:tc>
      </w:tr>
      <w:tr w:rsidR="00C40813" w:rsidRPr="00045AA7" w14:paraId="3DC782E6" w14:textId="77777777" w:rsidTr="004E40B8">
        <w:trPr>
          <w:jc w:val="center"/>
        </w:trPr>
        <w:tc>
          <w:tcPr>
            <w:tcW w:w="4106" w:type="dxa"/>
          </w:tcPr>
          <w:p w14:paraId="426ACB57" w14:textId="456522F3" w:rsidR="00C40813" w:rsidRPr="00045AA7" w:rsidRDefault="0053681E" w:rsidP="00385067">
            <w:pPr>
              <w:pStyle w:val="ChartData"/>
              <w:spacing w:line="276"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542553C3" w:rsidR="00C40813" w:rsidRPr="00282962" w:rsidRDefault="00F070AC" w:rsidP="00385067">
            <w:pPr>
              <w:spacing w:line="276" w:lineRule="auto"/>
              <w:rPr>
                <w:rFonts w:ascii="Arial" w:eastAsiaTheme="majorEastAsia" w:hAnsi="Arial" w:cs="Arial"/>
                <w:sz w:val="21"/>
                <w:szCs w:val="21"/>
                <w:lang w:eastAsia="zh-CN"/>
              </w:rPr>
            </w:pPr>
            <w:r>
              <w:rPr>
                <w:rFonts w:ascii="Arial" w:eastAsiaTheme="majorEastAsia" w:hAnsi="Arial" w:cs="Arial" w:hint="eastAsia"/>
                <w:sz w:val="21"/>
                <w:szCs w:val="21"/>
                <w:lang w:eastAsia="zh-CN"/>
              </w:rPr>
              <w:t>100</w:t>
            </w:r>
          </w:p>
        </w:tc>
      </w:tr>
      <w:tr w:rsidR="003B0498" w:rsidRPr="00045AA7" w14:paraId="02BC0412" w14:textId="77777777" w:rsidTr="004E40B8">
        <w:trPr>
          <w:jc w:val="center"/>
        </w:trPr>
        <w:tc>
          <w:tcPr>
            <w:tcW w:w="4106" w:type="dxa"/>
          </w:tcPr>
          <w:p w14:paraId="7D7BD218" w14:textId="2929AAF7" w:rsidR="003B0498" w:rsidRDefault="00610FDF" w:rsidP="00385067">
            <w:pPr>
              <w:pStyle w:val="ChartData"/>
              <w:spacing w:line="276"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Flash</w:t>
            </w:r>
            <w:r>
              <w:rPr>
                <w:rFonts w:ascii="Arial" w:eastAsiaTheme="majorEastAsia" w:hAnsi="Times New Roman" w:cs="Arial"/>
                <w:noProof w:val="0"/>
                <w:sz w:val="21"/>
                <w:szCs w:val="21"/>
                <w:lang w:eastAsia="zh-CN"/>
              </w:rPr>
              <w:t xml:space="preserve"> point </w:t>
            </w:r>
            <w:r w:rsidR="003B0498">
              <w:rPr>
                <w:rFonts w:ascii="Arial" w:eastAsiaTheme="majorEastAsia" w:hAnsi="Times New Roman" w:cs="Arial"/>
                <w:noProof w:val="0"/>
                <w:sz w:val="21"/>
                <w:szCs w:val="21"/>
                <w:lang w:eastAsia="zh-CN"/>
              </w:rPr>
              <w:t>(</w:t>
            </w:r>
            <w:r w:rsidR="003B0498">
              <w:rPr>
                <w:rFonts w:ascii="Arial" w:eastAsiaTheme="majorEastAsia" w:hAnsi="Times New Roman" w:cs="Arial" w:hint="eastAsia"/>
                <w:noProof w:val="0"/>
                <w:sz w:val="21"/>
                <w:szCs w:val="21"/>
                <w:lang w:eastAsia="zh-CN"/>
              </w:rPr>
              <w:t>℃</w:t>
            </w:r>
            <w:r w:rsidR="003B0498">
              <w:rPr>
                <w:rFonts w:ascii="Arial" w:eastAsiaTheme="majorEastAsia" w:hAnsi="Times New Roman" w:cs="Arial"/>
                <w:noProof w:val="0"/>
                <w:sz w:val="21"/>
                <w:szCs w:val="21"/>
                <w:lang w:eastAsia="zh-CN"/>
              </w:rPr>
              <w:t>)</w:t>
            </w:r>
          </w:p>
        </w:tc>
        <w:tc>
          <w:tcPr>
            <w:tcW w:w="4111" w:type="dxa"/>
          </w:tcPr>
          <w:p w14:paraId="1237D390" w14:textId="512AC763" w:rsidR="003B0498" w:rsidRDefault="00627EE9" w:rsidP="00385067">
            <w:pPr>
              <w:spacing w:line="276" w:lineRule="auto"/>
              <w:rPr>
                <w:rFonts w:ascii="Arial" w:eastAsiaTheme="majorEastAsia" w:hAnsi="Arial" w:cs="Arial"/>
                <w:sz w:val="21"/>
                <w:szCs w:val="21"/>
                <w:lang w:eastAsia="zh-CN"/>
              </w:rPr>
            </w:pPr>
            <w:r>
              <w:rPr>
                <w:rFonts w:ascii="Arial" w:eastAsiaTheme="majorEastAsia" w:hAnsi="Arial" w:cs="Arial"/>
                <w:sz w:val="21"/>
                <w:szCs w:val="21"/>
                <w:lang w:eastAsia="zh-CN"/>
              </w:rPr>
              <w:t>&gt;100</w:t>
            </w:r>
          </w:p>
        </w:tc>
      </w:tr>
    </w:tbl>
    <w:p w14:paraId="2ADB4D4F" w14:textId="6C2DADFF" w:rsidR="004E40B8" w:rsidRPr="004E40B8" w:rsidRDefault="00456A87" w:rsidP="00385067">
      <w:pPr>
        <w:spacing w:line="276" w:lineRule="auto"/>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0960049B" w14:textId="77777777" w:rsidR="003C41BE" w:rsidRPr="00AD2C17" w:rsidRDefault="003C41BE" w:rsidP="00385067">
      <w:pPr>
        <w:spacing w:line="276"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5A7E4E52" w:rsidR="00AD32D3" w:rsidRDefault="0012123D" w:rsidP="00385067">
      <w:pPr>
        <w:spacing w:line="276" w:lineRule="auto"/>
        <w:jc w:val="both"/>
        <w:rPr>
          <w:rFonts w:ascii="Arial" w:eastAsiaTheme="majorEastAsia" w:hAnsi="Arial" w:cs="Arial"/>
          <w:sz w:val="21"/>
          <w:szCs w:val="21"/>
          <w:lang w:eastAsia="zh-CN"/>
        </w:rPr>
      </w:pPr>
      <w:r w:rsidRPr="0012123D">
        <w:rPr>
          <w:rFonts w:ascii="Arial" w:eastAsiaTheme="majorEastAsia" w:hAnsi="Arial" w:cs="Arial"/>
          <w:b/>
          <w:sz w:val="21"/>
          <w:szCs w:val="21"/>
          <w:lang w:eastAsia="zh-CN"/>
        </w:rPr>
        <w:t>Coadd™ D</w:t>
      </w:r>
      <w:r w:rsidR="00F72CBE">
        <w:rPr>
          <w:rFonts w:ascii="Arial" w:eastAsiaTheme="majorEastAsia" w:hAnsi="Arial" w:cs="Arial" w:hint="eastAsia"/>
          <w:b/>
          <w:sz w:val="21"/>
          <w:szCs w:val="21"/>
          <w:lang w:eastAsia="zh-CN"/>
        </w:rPr>
        <w:t>O</w:t>
      </w:r>
      <w:r w:rsidRPr="0012123D">
        <w:rPr>
          <w:rFonts w:ascii="Arial" w:eastAsiaTheme="majorEastAsia" w:hAnsi="Arial" w:cs="Arial"/>
          <w:b/>
          <w:sz w:val="21"/>
          <w:szCs w:val="21"/>
          <w:lang w:eastAsia="zh-CN"/>
        </w:rPr>
        <w:t>-6108</w:t>
      </w:r>
      <w:r w:rsidR="003C41BE">
        <w:rPr>
          <w:rFonts w:ascii="Arial" w:eastAsiaTheme="majorEastAsia" w:hAnsi="Arial" w:cs="Arial" w:hint="eastAsia"/>
          <w:b/>
          <w:sz w:val="21"/>
          <w:szCs w:val="21"/>
          <w:lang w:eastAsia="zh-CN"/>
        </w:rPr>
        <w:t xml:space="preserve"> </w:t>
      </w:r>
      <w:r w:rsidR="001020E6">
        <w:rPr>
          <w:rFonts w:ascii="Arial" w:eastAsiaTheme="majorEastAsia" w:hAnsi="Arial" w:cs="Arial"/>
          <w:bCs/>
          <w:sz w:val="21"/>
          <w:szCs w:val="21"/>
          <w:lang w:eastAsia="zh-CN"/>
        </w:rPr>
        <w:t>uses steric stabilization to deflocculates the pigments in the system. High gloss and improved color strength can be achieved due to smaller particle sizes. The product can also improve transparency and hiding power depending on the type of pigments. It also improves the leveling performance and PVC of the system. The product is recommended to add in grinding stage.</w:t>
      </w:r>
    </w:p>
    <w:p w14:paraId="7C2E751A" w14:textId="77777777" w:rsidR="002D21C9" w:rsidRDefault="00F25148" w:rsidP="00385067">
      <w:pPr>
        <w:spacing w:line="276"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50DF3D8C" w14:textId="6D077069" w:rsidR="002D21C9" w:rsidRDefault="002D21C9" w:rsidP="00385067">
      <w:pPr>
        <w:spacing w:line="276"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Titanium dioxide</w:t>
      </w:r>
      <w:r w:rsidR="004249BC">
        <w:rPr>
          <w:rFonts w:ascii="Arial" w:eastAsiaTheme="majorEastAsia" w:hAnsi="Arial" w:cs="Arial"/>
          <w:bCs/>
          <w:sz w:val="21"/>
          <w:szCs w:val="21"/>
          <w:lang w:eastAsia="zh-CN"/>
        </w:rPr>
        <w:t>:</w:t>
      </w:r>
      <w:r>
        <w:rPr>
          <w:rFonts w:ascii="Arial" w:eastAsiaTheme="majorEastAsia" w:hAnsi="Arial" w:cs="Arial"/>
          <w:bCs/>
          <w:sz w:val="21"/>
          <w:szCs w:val="21"/>
          <w:lang w:eastAsia="zh-CN"/>
        </w:rPr>
        <w:t xml:space="preserve"> </w:t>
      </w:r>
      <w:r w:rsidR="001020E6">
        <w:rPr>
          <w:rFonts w:ascii="Arial" w:eastAsiaTheme="majorEastAsia" w:hAnsi="Arial" w:cs="Arial"/>
          <w:bCs/>
          <w:sz w:val="21"/>
          <w:szCs w:val="21"/>
          <w:lang w:eastAsia="zh-CN"/>
        </w:rPr>
        <w:t>1</w:t>
      </w:r>
      <w:r w:rsidR="00F25148">
        <w:rPr>
          <w:rFonts w:ascii="Arial" w:eastAsiaTheme="majorEastAsia" w:hAnsi="Arial" w:cs="Arial"/>
          <w:sz w:val="21"/>
          <w:szCs w:val="21"/>
          <w:lang w:eastAsia="zh-CN"/>
        </w:rPr>
        <w:t xml:space="preserve"> </w:t>
      </w:r>
      <w:r w:rsidR="007A491B">
        <w:rPr>
          <w:rFonts w:ascii="Arial" w:eastAsiaTheme="majorEastAsia" w:hAnsi="Arial" w:cs="Arial" w:hint="eastAsia"/>
          <w:sz w:val="21"/>
          <w:szCs w:val="21"/>
          <w:lang w:eastAsia="zh-CN"/>
        </w:rPr>
        <w:t>-</w:t>
      </w:r>
      <w:r w:rsidR="00F25148">
        <w:rPr>
          <w:rFonts w:ascii="Arial" w:eastAsiaTheme="majorEastAsia" w:hAnsi="Arial" w:cs="Arial"/>
          <w:sz w:val="21"/>
          <w:szCs w:val="21"/>
          <w:lang w:eastAsia="zh-CN"/>
        </w:rPr>
        <w:t xml:space="preserve"> </w:t>
      </w:r>
      <w:r w:rsidR="001020E6">
        <w:rPr>
          <w:rFonts w:ascii="Arial" w:eastAsiaTheme="majorEastAsia" w:hAnsi="Arial" w:cs="Arial"/>
          <w:sz w:val="21"/>
          <w:szCs w:val="21"/>
          <w:lang w:eastAsia="zh-CN"/>
        </w:rPr>
        <w:t>3</w:t>
      </w:r>
      <w:r w:rsidR="00F25148">
        <w:rPr>
          <w:rFonts w:ascii="Arial" w:eastAsiaTheme="majorEastAsia" w:hAnsi="Arial" w:cs="Arial"/>
          <w:sz w:val="21"/>
          <w:szCs w:val="21"/>
          <w:lang w:eastAsia="zh-CN"/>
        </w:rPr>
        <w:t>%</w:t>
      </w:r>
    </w:p>
    <w:p w14:paraId="08414BA9" w14:textId="0F1412C1" w:rsidR="002D21C9" w:rsidRDefault="002D21C9" w:rsidP="00385067">
      <w:pPr>
        <w:spacing w:line="276"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Inorganic pigments</w:t>
      </w:r>
      <w:r w:rsidR="004249BC">
        <w:rPr>
          <w:rFonts w:ascii="Arial" w:eastAsiaTheme="majorEastAsia" w:hAnsi="Arial" w:cs="Arial"/>
          <w:sz w:val="21"/>
          <w:szCs w:val="21"/>
          <w:lang w:eastAsia="zh-CN"/>
        </w:rPr>
        <w:t>:</w:t>
      </w:r>
      <w:r>
        <w:rPr>
          <w:rFonts w:ascii="Arial" w:eastAsiaTheme="majorEastAsia" w:hAnsi="Arial" w:cs="Arial"/>
          <w:sz w:val="21"/>
          <w:szCs w:val="21"/>
          <w:lang w:eastAsia="zh-CN"/>
        </w:rPr>
        <w:t xml:space="preserve"> </w:t>
      </w:r>
      <w:r w:rsidR="001020E6">
        <w:rPr>
          <w:rFonts w:ascii="Arial" w:eastAsiaTheme="majorEastAsia" w:hAnsi="Arial" w:cs="Arial"/>
          <w:sz w:val="21"/>
          <w:szCs w:val="21"/>
          <w:lang w:eastAsia="zh-CN"/>
        </w:rPr>
        <w:t>5</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sidR="001020E6">
        <w:rPr>
          <w:rFonts w:ascii="Arial" w:eastAsiaTheme="majorEastAsia" w:hAnsi="Arial" w:cs="Arial"/>
          <w:sz w:val="21"/>
          <w:szCs w:val="21"/>
          <w:lang w:eastAsia="zh-CN"/>
        </w:rPr>
        <w:t>10</w:t>
      </w:r>
      <w:r>
        <w:rPr>
          <w:rFonts w:ascii="Arial" w:eastAsiaTheme="majorEastAsia" w:hAnsi="Arial" w:cs="Arial"/>
          <w:sz w:val="21"/>
          <w:szCs w:val="21"/>
          <w:lang w:eastAsia="zh-CN"/>
        </w:rPr>
        <w:t>%</w:t>
      </w:r>
    </w:p>
    <w:p w14:paraId="57B3ED3F" w14:textId="32B6D1D5" w:rsidR="006144C9" w:rsidRDefault="001020E6" w:rsidP="00385067">
      <w:pPr>
        <w:spacing w:line="276"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Organic pigments</w:t>
      </w:r>
      <w:r w:rsidR="006144C9">
        <w:rPr>
          <w:rFonts w:ascii="Arial" w:eastAsiaTheme="majorEastAsia" w:hAnsi="Arial" w:cs="Arial"/>
          <w:sz w:val="21"/>
          <w:szCs w:val="21"/>
          <w:lang w:eastAsia="zh-CN"/>
        </w:rPr>
        <w:t xml:space="preserve">: </w:t>
      </w:r>
      <w:r>
        <w:rPr>
          <w:rFonts w:ascii="Arial" w:eastAsiaTheme="majorEastAsia" w:hAnsi="Arial" w:cs="Arial"/>
          <w:sz w:val="21"/>
          <w:szCs w:val="21"/>
          <w:lang w:eastAsia="zh-CN"/>
        </w:rPr>
        <w:t>10</w:t>
      </w:r>
      <w:r w:rsidR="007A491B">
        <w:rPr>
          <w:rFonts w:ascii="Arial" w:eastAsiaTheme="majorEastAsia" w:hAnsi="Arial" w:cs="Arial"/>
          <w:sz w:val="21"/>
          <w:szCs w:val="21"/>
          <w:lang w:eastAsia="zh-CN"/>
        </w:rPr>
        <w:t xml:space="preserve"> </w:t>
      </w:r>
      <w:r w:rsidR="006144C9">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25</w:t>
      </w:r>
      <w:r w:rsidR="006144C9">
        <w:rPr>
          <w:rFonts w:ascii="Arial" w:eastAsiaTheme="majorEastAsia" w:hAnsi="Arial" w:cs="Arial"/>
          <w:sz w:val="21"/>
          <w:szCs w:val="21"/>
          <w:lang w:eastAsia="zh-CN"/>
        </w:rPr>
        <w:t>%</w:t>
      </w:r>
    </w:p>
    <w:p w14:paraId="2A9CA089" w14:textId="349F2EB6" w:rsidR="001020E6" w:rsidRPr="001020E6" w:rsidRDefault="001020E6" w:rsidP="00385067">
      <w:pPr>
        <w:spacing w:line="276"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Carbon black: 15 – 35%</w:t>
      </w:r>
    </w:p>
    <w:p w14:paraId="13317990" w14:textId="2E72E17D" w:rsidR="00F25148" w:rsidRPr="004B7D22" w:rsidRDefault="004B7D22" w:rsidP="00385067">
      <w:pPr>
        <w:spacing w:line="276"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10A2B164" w14:textId="77777777" w:rsidR="00456A87" w:rsidRPr="00584A24" w:rsidRDefault="00456A87" w:rsidP="00385067">
      <w:pPr>
        <w:spacing w:line="276"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385067">
      <w:pPr>
        <w:spacing w:line="276"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385067">
      <w:pPr>
        <w:spacing w:line="276"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385067">
      <w:pPr>
        <w:spacing w:line="276" w:lineRule="auto"/>
        <w:jc w:val="both"/>
        <w:rPr>
          <w:rFonts w:ascii="Arial" w:eastAsia="宋体" w:hAnsi="Arial" w:cs="Arial"/>
          <w:b/>
          <w:bCs/>
          <w:szCs w:val="28"/>
          <w:lang w:eastAsia="zh-CN"/>
        </w:rPr>
      </w:pPr>
      <w:r w:rsidRPr="001E2A07">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385067">
      <w:pPr>
        <w:spacing w:line="276"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4EE91" w14:textId="77777777" w:rsidR="009D2C8C" w:rsidRDefault="009D2C8C" w:rsidP="00D67962">
      <w:r>
        <w:separator/>
      </w:r>
    </w:p>
  </w:endnote>
  <w:endnote w:type="continuationSeparator" w:id="0">
    <w:p w14:paraId="05A5F632" w14:textId="77777777" w:rsidR="009D2C8C" w:rsidRDefault="009D2C8C"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04E55" w14:textId="77777777" w:rsidR="009D2C8C" w:rsidRDefault="009D2C8C" w:rsidP="00D67962">
      <w:r>
        <w:separator/>
      </w:r>
    </w:p>
  </w:footnote>
  <w:footnote w:type="continuationSeparator" w:id="0">
    <w:p w14:paraId="6A0FA72F" w14:textId="77777777" w:rsidR="009D2C8C" w:rsidRDefault="009D2C8C"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0B29"/>
    <w:rsid w:val="000730CA"/>
    <w:rsid w:val="00085F2B"/>
    <w:rsid w:val="000872F4"/>
    <w:rsid w:val="00094A57"/>
    <w:rsid w:val="000A4C54"/>
    <w:rsid w:val="000C0F82"/>
    <w:rsid w:val="000D4635"/>
    <w:rsid w:val="000E0A01"/>
    <w:rsid w:val="000E4765"/>
    <w:rsid w:val="00101AF7"/>
    <w:rsid w:val="001020E6"/>
    <w:rsid w:val="00105DE9"/>
    <w:rsid w:val="0012123D"/>
    <w:rsid w:val="00122A34"/>
    <w:rsid w:val="00127223"/>
    <w:rsid w:val="001512CC"/>
    <w:rsid w:val="001609A4"/>
    <w:rsid w:val="00160D17"/>
    <w:rsid w:val="00182722"/>
    <w:rsid w:val="001A02D0"/>
    <w:rsid w:val="001B6C7F"/>
    <w:rsid w:val="001B7A0E"/>
    <w:rsid w:val="001C441C"/>
    <w:rsid w:val="001C7285"/>
    <w:rsid w:val="001D0977"/>
    <w:rsid w:val="001D3213"/>
    <w:rsid w:val="001D3FAC"/>
    <w:rsid w:val="001D6446"/>
    <w:rsid w:val="0020482B"/>
    <w:rsid w:val="002107AB"/>
    <w:rsid w:val="0021101E"/>
    <w:rsid w:val="0021371F"/>
    <w:rsid w:val="002176ED"/>
    <w:rsid w:val="00221A70"/>
    <w:rsid w:val="00222C6F"/>
    <w:rsid w:val="002264A7"/>
    <w:rsid w:val="00231BB0"/>
    <w:rsid w:val="00253982"/>
    <w:rsid w:val="0025500F"/>
    <w:rsid w:val="00267EE6"/>
    <w:rsid w:val="00270BA7"/>
    <w:rsid w:val="00271FDF"/>
    <w:rsid w:val="00276A9A"/>
    <w:rsid w:val="00276C4F"/>
    <w:rsid w:val="00282962"/>
    <w:rsid w:val="002A454B"/>
    <w:rsid w:val="002A5CCC"/>
    <w:rsid w:val="002B0362"/>
    <w:rsid w:val="002B6F13"/>
    <w:rsid w:val="002C6284"/>
    <w:rsid w:val="002D21C9"/>
    <w:rsid w:val="002D676D"/>
    <w:rsid w:val="002F4ABF"/>
    <w:rsid w:val="00300D00"/>
    <w:rsid w:val="003051D7"/>
    <w:rsid w:val="0030597C"/>
    <w:rsid w:val="00323F25"/>
    <w:rsid w:val="00327669"/>
    <w:rsid w:val="00333B25"/>
    <w:rsid w:val="003359F7"/>
    <w:rsid w:val="00352098"/>
    <w:rsid w:val="0035316F"/>
    <w:rsid w:val="00373A3F"/>
    <w:rsid w:val="0037766C"/>
    <w:rsid w:val="00382D03"/>
    <w:rsid w:val="00384DCF"/>
    <w:rsid w:val="00385067"/>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249BC"/>
    <w:rsid w:val="004369D4"/>
    <w:rsid w:val="00436B43"/>
    <w:rsid w:val="0044524A"/>
    <w:rsid w:val="00447BA7"/>
    <w:rsid w:val="00454E3A"/>
    <w:rsid w:val="00456A87"/>
    <w:rsid w:val="00457A83"/>
    <w:rsid w:val="004847AE"/>
    <w:rsid w:val="00494163"/>
    <w:rsid w:val="004960DB"/>
    <w:rsid w:val="004977A9"/>
    <w:rsid w:val="004A1610"/>
    <w:rsid w:val="004B4D7A"/>
    <w:rsid w:val="004B7D22"/>
    <w:rsid w:val="004D0528"/>
    <w:rsid w:val="004D2009"/>
    <w:rsid w:val="004D408A"/>
    <w:rsid w:val="004E14DC"/>
    <w:rsid w:val="004E40B8"/>
    <w:rsid w:val="004F18B7"/>
    <w:rsid w:val="004F3127"/>
    <w:rsid w:val="00511752"/>
    <w:rsid w:val="00521996"/>
    <w:rsid w:val="00532EAA"/>
    <w:rsid w:val="0053681E"/>
    <w:rsid w:val="005556D2"/>
    <w:rsid w:val="005726DC"/>
    <w:rsid w:val="00576426"/>
    <w:rsid w:val="00593271"/>
    <w:rsid w:val="00594ECE"/>
    <w:rsid w:val="005A0D71"/>
    <w:rsid w:val="005B567B"/>
    <w:rsid w:val="005C288F"/>
    <w:rsid w:val="005C2B6F"/>
    <w:rsid w:val="005D1362"/>
    <w:rsid w:val="00610704"/>
    <w:rsid w:val="00610FDF"/>
    <w:rsid w:val="006144C9"/>
    <w:rsid w:val="00626826"/>
    <w:rsid w:val="00627EE9"/>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53B38"/>
    <w:rsid w:val="0077066B"/>
    <w:rsid w:val="00777EA3"/>
    <w:rsid w:val="00784037"/>
    <w:rsid w:val="00785B0A"/>
    <w:rsid w:val="00786041"/>
    <w:rsid w:val="00796E0F"/>
    <w:rsid w:val="007A48E0"/>
    <w:rsid w:val="007A491B"/>
    <w:rsid w:val="007A4BF8"/>
    <w:rsid w:val="007B3FB5"/>
    <w:rsid w:val="007C1AC3"/>
    <w:rsid w:val="007C79A1"/>
    <w:rsid w:val="007E58EA"/>
    <w:rsid w:val="007F381B"/>
    <w:rsid w:val="008013E9"/>
    <w:rsid w:val="00806967"/>
    <w:rsid w:val="00810332"/>
    <w:rsid w:val="008135B7"/>
    <w:rsid w:val="0082166E"/>
    <w:rsid w:val="00823B3F"/>
    <w:rsid w:val="00825180"/>
    <w:rsid w:val="00827D31"/>
    <w:rsid w:val="0084354B"/>
    <w:rsid w:val="00852B13"/>
    <w:rsid w:val="00864D37"/>
    <w:rsid w:val="00874152"/>
    <w:rsid w:val="008774A1"/>
    <w:rsid w:val="00885FEB"/>
    <w:rsid w:val="00892B7E"/>
    <w:rsid w:val="008A39BD"/>
    <w:rsid w:val="008A6F3E"/>
    <w:rsid w:val="008B043F"/>
    <w:rsid w:val="008B1EA5"/>
    <w:rsid w:val="008B68B5"/>
    <w:rsid w:val="008C4875"/>
    <w:rsid w:val="008D0242"/>
    <w:rsid w:val="008D7501"/>
    <w:rsid w:val="008E0278"/>
    <w:rsid w:val="008E4C47"/>
    <w:rsid w:val="008F1851"/>
    <w:rsid w:val="008F3A20"/>
    <w:rsid w:val="00902362"/>
    <w:rsid w:val="009037C0"/>
    <w:rsid w:val="00912B8E"/>
    <w:rsid w:val="0091364B"/>
    <w:rsid w:val="0092000E"/>
    <w:rsid w:val="009328E0"/>
    <w:rsid w:val="0093316F"/>
    <w:rsid w:val="00936D82"/>
    <w:rsid w:val="00940C44"/>
    <w:rsid w:val="00944790"/>
    <w:rsid w:val="00952C9E"/>
    <w:rsid w:val="009551B8"/>
    <w:rsid w:val="00957A39"/>
    <w:rsid w:val="00972DB9"/>
    <w:rsid w:val="009801A1"/>
    <w:rsid w:val="009919E3"/>
    <w:rsid w:val="009B1A8F"/>
    <w:rsid w:val="009D07EC"/>
    <w:rsid w:val="009D1DF0"/>
    <w:rsid w:val="009D247F"/>
    <w:rsid w:val="009D2C8C"/>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77B83"/>
    <w:rsid w:val="00A83704"/>
    <w:rsid w:val="00A910B4"/>
    <w:rsid w:val="00A950A0"/>
    <w:rsid w:val="00AB53AB"/>
    <w:rsid w:val="00AB6C59"/>
    <w:rsid w:val="00AC18C2"/>
    <w:rsid w:val="00AC604B"/>
    <w:rsid w:val="00AD32D3"/>
    <w:rsid w:val="00AE2526"/>
    <w:rsid w:val="00AE320F"/>
    <w:rsid w:val="00AE6510"/>
    <w:rsid w:val="00AF3478"/>
    <w:rsid w:val="00AF3A2D"/>
    <w:rsid w:val="00B01FD3"/>
    <w:rsid w:val="00B02357"/>
    <w:rsid w:val="00B03125"/>
    <w:rsid w:val="00B21A69"/>
    <w:rsid w:val="00B23B89"/>
    <w:rsid w:val="00B326A1"/>
    <w:rsid w:val="00B3713F"/>
    <w:rsid w:val="00B4145A"/>
    <w:rsid w:val="00B475AB"/>
    <w:rsid w:val="00B5056C"/>
    <w:rsid w:val="00B66588"/>
    <w:rsid w:val="00B723F7"/>
    <w:rsid w:val="00B97456"/>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71E6"/>
    <w:rsid w:val="00C52036"/>
    <w:rsid w:val="00C57AD9"/>
    <w:rsid w:val="00C60DA6"/>
    <w:rsid w:val="00C61E26"/>
    <w:rsid w:val="00C64E0F"/>
    <w:rsid w:val="00C73441"/>
    <w:rsid w:val="00C96952"/>
    <w:rsid w:val="00C97E03"/>
    <w:rsid w:val="00CA64D5"/>
    <w:rsid w:val="00CB3B7B"/>
    <w:rsid w:val="00CB4931"/>
    <w:rsid w:val="00CD02C9"/>
    <w:rsid w:val="00CD36B1"/>
    <w:rsid w:val="00CF6E4E"/>
    <w:rsid w:val="00D010E1"/>
    <w:rsid w:val="00D063DF"/>
    <w:rsid w:val="00D146AE"/>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A39AB"/>
    <w:rsid w:val="00EC05B6"/>
    <w:rsid w:val="00EC096A"/>
    <w:rsid w:val="00EC7367"/>
    <w:rsid w:val="00ED32D6"/>
    <w:rsid w:val="00ED3631"/>
    <w:rsid w:val="00EE1A20"/>
    <w:rsid w:val="00EE2087"/>
    <w:rsid w:val="00F070AC"/>
    <w:rsid w:val="00F20FB2"/>
    <w:rsid w:val="00F25148"/>
    <w:rsid w:val="00F34352"/>
    <w:rsid w:val="00F5026E"/>
    <w:rsid w:val="00F56C21"/>
    <w:rsid w:val="00F61270"/>
    <w:rsid w:val="00F72CBE"/>
    <w:rsid w:val="00F750DC"/>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264</Words>
  <Characters>1509</Characters>
  <Application>Microsoft Office Word</Application>
  <DocSecurity>0</DocSecurity>
  <Lines>12</Lines>
  <Paragraphs>3</Paragraphs>
  <ScaleCrop>false</ScaleCrop>
  <Company>Microsoft</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office</cp:lastModifiedBy>
  <cp:revision>3</cp:revision>
  <cp:lastPrinted>2024-07-12T07:44:00Z</cp:lastPrinted>
  <dcterms:created xsi:type="dcterms:W3CDTF">2024-11-12T06:49:00Z</dcterms:created>
  <dcterms:modified xsi:type="dcterms:W3CDTF">2024-12-19T08:12:00Z</dcterms:modified>
</cp:coreProperties>
</file>