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1437" w:rsidRPr="00941437" w:rsidRDefault="00E85AF0" w:rsidP="00941437">
      <w:pPr>
        <w:pStyle w:val="ProductName"/>
        <w:tabs>
          <w:tab w:val="left" w:pos="93"/>
        </w:tabs>
        <w:spacing w:beforeLines="30" w:before="97"/>
        <w:jc w:val="center"/>
        <w:rPr>
          <w:rFonts w:eastAsia="宋体" w:hint="eastAsia"/>
          <w:sz w:val="28"/>
          <w:szCs w:val="28"/>
          <w:lang w:eastAsia="zh-CN"/>
        </w:rPr>
      </w:pPr>
      <w:r w:rsidRPr="00941437">
        <w:rPr>
          <w:rFonts w:eastAsia="宋体" w:hint="eastAsia"/>
          <w:sz w:val="28"/>
          <w:szCs w:val="28"/>
          <w:lang w:eastAsia="zh-CN"/>
        </w:rPr>
        <w:t>Coadd</w:t>
      </w:r>
      <w:r w:rsidRPr="00941437">
        <w:rPr>
          <w:rFonts w:eastAsia="宋体"/>
          <w:sz w:val="28"/>
          <w:szCs w:val="28"/>
          <w:lang w:eastAsia="zh-CN"/>
        </w:rPr>
        <w:t xml:space="preserve">™ </w:t>
      </w:r>
      <w:r w:rsidR="00941437" w:rsidRPr="00941437">
        <w:rPr>
          <w:rFonts w:eastAsia="宋体" w:hint="eastAsia"/>
          <w:sz w:val="28"/>
          <w:szCs w:val="28"/>
          <w:lang w:eastAsia="zh-CN"/>
        </w:rPr>
        <w:t>DO-6201</w:t>
      </w:r>
    </w:p>
    <w:p w:rsidR="00941437" w:rsidRDefault="00941437" w:rsidP="00941437">
      <w:pPr>
        <w:jc w:val="center"/>
        <w:rPr>
          <w:rFonts w:ascii="Arial" w:eastAsia="宋体" w:hAnsi="宋体" w:cs="Arial"/>
          <w:lang w:eastAsia="zh-CN"/>
        </w:rPr>
      </w:pPr>
    </w:p>
    <w:p w:rsidR="00C824DC" w:rsidRPr="00941437" w:rsidRDefault="00A27827" w:rsidP="00941437">
      <w:pPr>
        <w:jc w:val="center"/>
        <w:rPr>
          <w:rFonts w:ascii="Arial" w:eastAsia="宋体" w:hAnsi="宋体" w:cs="Arial" w:hint="eastAsia"/>
          <w:lang w:eastAsia="zh-CN"/>
        </w:rPr>
      </w:pPr>
      <w:r w:rsidRPr="00941437">
        <w:rPr>
          <w:rFonts w:ascii="Arial" w:eastAsia="宋体" w:hAnsi="宋体" w:cs="Arial"/>
          <w:lang w:eastAsia="zh-CN"/>
        </w:rPr>
        <w:t>Pigment</w:t>
      </w:r>
      <w:r w:rsidR="00B6759F" w:rsidRPr="00941437">
        <w:rPr>
          <w:rFonts w:ascii="Arial" w:eastAsia="宋体" w:hAnsi="宋体" w:cs="Arial" w:hint="eastAsia"/>
          <w:lang w:eastAsia="zh-CN"/>
        </w:rPr>
        <w:t xml:space="preserve"> Dispersant </w:t>
      </w:r>
    </w:p>
    <w:p w:rsidR="00E85AF0" w:rsidRPr="00B6759F" w:rsidRDefault="00B6759F" w:rsidP="00E85AF0">
      <w:pPr>
        <w:rPr>
          <w:rFonts w:ascii="Arial" w:eastAsiaTheme="minorEastAsia" w:hAnsi="Arial" w:cs="Arial"/>
          <w:sz w:val="28"/>
          <w:szCs w:val="28"/>
          <w:lang w:eastAsia="zh-CN"/>
        </w:rPr>
      </w:pPr>
      <w:r>
        <w:rPr>
          <w:rFonts w:ascii="Arial" w:eastAsia="宋体" w:hAnsi="宋体" w:cs="Arial" w:hint="eastAsia"/>
          <w:b/>
          <w:bCs/>
          <w:sz w:val="28"/>
          <w:szCs w:val="28"/>
          <w:lang w:eastAsia="zh-CN"/>
        </w:rPr>
        <w:t>DESCRIPTION</w:t>
      </w:r>
    </w:p>
    <w:p w:rsidR="00C824DC" w:rsidRPr="00941437" w:rsidRDefault="00E85AF0" w:rsidP="00941437">
      <w:pPr>
        <w:spacing w:line="276" w:lineRule="auto"/>
        <w:jc w:val="both"/>
        <w:rPr>
          <w:rFonts w:ascii="Arial" w:eastAsiaTheme="minorEastAsia" w:hAnsi="Arial" w:cs="Arial" w:hint="eastAsia"/>
          <w:sz w:val="21"/>
          <w:szCs w:val="21"/>
          <w:lang w:eastAsia="zh-CN"/>
        </w:rPr>
      </w:pPr>
      <w:r w:rsidRPr="00B6759F">
        <w:rPr>
          <w:rFonts w:ascii="Arial" w:eastAsiaTheme="minorEastAsia" w:hAnsi="Arial" w:cs="Arial"/>
          <w:b/>
          <w:sz w:val="21"/>
          <w:szCs w:val="21"/>
          <w:lang w:eastAsia="zh-CN"/>
        </w:rPr>
        <w:t xml:space="preserve">Coadd™ </w:t>
      </w:r>
      <w:r w:rsidR="00941437">
        <w:rPr>
          <w:rFonts w:ascii="Arial" w:eastAsiaTheme="minorEastAsia" w:hAnsi="Arial" w:cs="Arial"/>
          <w:b/>
          <w:sz w:val="21"/>
          <w:szCs w:val="21"/>
          <w:lang w:eastAsia="zh-CN"/>
        </w:rPr>
        <w:t>DO-6201</w:t>
      </w:r>
      <w:r w:rsidR="00B6759F">
        <w:rPr>
          <w:rFonts w:ascii="Arial" w:eastAsiaTheme="minorEastAsia" w:hAnsi="Arial" w:cs="Arial" w:hint="eastAsia"/>
          <w:sz w:val="21"/>
          <w:szCs w:val="21"/>
          <w:lang w:eastAsia="zh-CN"/>
        </w:rPr>
        <w:t xml:space="preserve"> is a </w:t>
      </w:r>
      <w:r w:rsidR="000E0727">
        <w:rPr>
          <w:rFonts w:ascii="Arial" w:eastAsiaTheme="minorEastAsia" w:hAnsi="Arial" w:cs="Arial"/>
          <w:sz w:val="21"/>
          <w:szCs w:val="21"/>
          <w:lang w:eastAsia="zh-CN"/>
        </w:rPr>
        <w:t>100% dispersant of high molecular-weight</w:t>
      </w:r>
      <w:r w:rsidR="00B6759F">
        <w:rPr>
          <w:rFonts w:ascii="Arial" w:eastAsiaTheme="minorEastAsia" w:hAnsi="Arial" w:cs="Arial" w:hint="eastAsia"/>
          <w:sz w:val="21"/>
          <w:szCs w:val="21"/>
          <w:lang w:eastAsia="zh-CN"/>
        </w:rPr>
        <w:t xml:space="preserve"> </w:t>
      </w:r>
      <w:r w:rsidR="000E0727">
        <w:rPr>
          <w:rFonts w:ascii="Arial" w:eastAsiaTheme="minorEastAsia" w:hAnsi="Arial" w:cs="Arial"/>
          <w:sz w:val="21"/>
          <w:szCs w:val="21"/>
          <w:lang w:eastAsia="zh-CN"/>
        </w:rPr>
        <w:t>block copolymer. It is general-purpose dispersant for UV-curing applications</w:t>
      </w:r>
      <w:r w:rsidR="00B6759F">
        <w:rPr>
          <w:rFonts w:ascii="Arial" w:eastAsiaTheme="minorEastAsia" w:hAnsi="Arial" w:cs="Arial" w:hint="eastAsia"/>
          <w:sz w:val="21"/>
          <w:szCs w:val="21"/>
          <w:lang w:eastAsia="zh-CN"/>
        </w:rPr>
        <w:t xml:space="preserve">. </w:t>
      </w:r>
      <w:r w:rsidR="000E0727">
        <w:rPr>
          <w:rFonts w:ascii="Arial" w:eastAsiaTheme="minorEastAsia" w:hAnsi="Arial" w:cs="Arial"/>
          <w:sz w:val="21"/>
          <w:szCs w:val="21"/>
          <w:lang w:eastAsia="zh-CN"/>
        </w:rPr>
        <w:t xml:space="preserve">It </w:t>
      </w:r>
      <w:r w:rsidR="003C2153">
        <w:rPr>
          <w:rFonts w:ascii="Arial" w:eastAsiaTheme="minorEastAsia" w:hAnsi="Arial" w:cs="Arial"/>
          <w:sz w:val="21"/>
          <w:szCs w:val="21"/>
          <w:lang w:eastAsia="zh-CN"/>
        </w:rPr>
        <w:t>is</w:t>
      </w:r>
      <w:r w:rsidR="00B6759F">
        <w:rPr>
          <w:rFonts w:ascii="Arial" w:eastAsiaTheme="minorEastAsia" w:hAnsi="Arial" w:cs="Arial" w:hint="eastAsia"/>
          <w:sz w:val="21"/>
          <w:szCs w:val="21"/>
          <w:lang w:eastAsia="zh-CN"/>
        </w:rPr>
        <w:t xml:space="preserve"> </w:t>
      </w:r>
      <w:r w:rsidR="000E0727">
        <w:rPr>
          <w:rFonts w:ascii="Arial" w:eastAsiaTheme="minorEastAsia" w:hAnsi="Arial" w:cs="Arial"/>
          <w:sz w:val="21"/>
          <w:szCs w:val="21"/>
          <w:lang w:eastAsia="zh-CN"/>
        </w:rPr>
        <w:t>also</w:t>
      </w:r>
      <w:r w:rsidR="00B6759F">
        <w:rPr>
          <w:rFonts w:ascii="Arial" w:eastAsiaTheme="minorEastAsia" w:hAnsi="Arial" w:cs="Arial" w:hint="eastAsia"/>
          <w:sz w:val="21"/>
          <w:szCs w:val="21"/>
          <w:lang w:eastAsia="zh-CN"/>
        </w:rPr>
        <w:t xml:space="preserve"> used in </w:t>
      </w:r>
      <w:r w:rsidR="000E0727">
        <w:rPr>
          <w:rFonts w:ascii="Arial" w:eastAsiaTheme="minorEastAsia" w:hAnsi="Arial" w:cs="Arial"/>
          <w:sz w:val="21"/>
          <w:szCs w:val="21"/>
          <w:lang w:eastAsia="zh-CN"/>
        </w:rPr>
        <w:t xml:space="preserve">solvent and water-borne formulations. </w:t>
      </w:r>
      <w:r w:rsidR="000E0727" w:rsidRPr="006D720C">
        <w:rPr>
          <w:rFonts w:ascii="Arial" w:eastAsiaTheme="minorEastAsia" w:hAnsi="Arial" w:cs="Arial" w:hint="eastAsia"/>
          <w:b/>
          <w:sz w:val="21"/>
          <w:szCs w:val="21"/>
          <w:lang w:eastAsia="zh-CN"/>
        </w:rPr>
        <w:t>Coadd</w:t>
      </w:r>
      <w:r w:rsidR="000E0727" w:rsidRPr="006D720C">
        <w:rPr>
          <w:rFonts w:ascii="宋体" w:eastAsia="宋体" w:hAnsi="宋体" w:cs="Arial" w:hint="eastAsia"/>
          <w:b/>
          <w:sz w:val="21"/>
          <w:szCs w:val="21"/>
          <w:lang w:eastAsia="zh-CN"/>
        </w:rPr>
        <w:t>™</w:t>
      </w:r>
      <w:r w:rsidR="000E0727" w:rsidRPr="006D720C">
        <w:rPr>
          <w:rFonts w:ascii="Arial" w:eastAsiaTheme="minorEastAsia" w:hAnsi="Arial" w:cs="Arial" w:hint="eastAsia"/>
          <w:b/>
          <w:sz w:val="21"/>
          <w:szCs w:val="21"/>
          <w:lang w:eastAsia="zh-CN"/>
        </w:rPr>
        <w:t xml:space="preserve"> </w:t>
      </w:r>
      <w:r w:rsidR="00941437">
        <w:rPr>
          <w:rFonts w:ascii="Arial" w:eastAsiaTheme="minorEastAsia" w:hAnsi="Arial" w:cs="Arial" w:hint="eastAsia"/>
          <w:b/>
          <w:sz w:val="21"/>
          <w:szCs w:val="21"/>
          <w:lang w:eastAsia="zh-CN"/>
        </w:rPr>
        <w:t>DO-6201</w:t>
      </w:r>
      <w:r w:rsidR="000E0727">
        <w:rPr>
          <w:rFonts w:ascii="Arial" w:eastAsiaTheme="minorEastAsia" w:hAnsi="Arial" w:cs="Arial"/>
          <w:b/>
          <w:sz w:val="21"/>
          <w:szCs w:val="21"/>
          <w:lang w:eastAsia="zh-CN"/>
        </w:rPr>
        <w:t xml:space="preserve"> </w:t>
      </w:r>
      <w:r w:rsidR="000E0727">
        <w:rPr>
          <w:rFonts w:ascii="Arial" w:eastAsiaTheme="minorEastAsia" w:hAnsi="Arial" w:cs="Arial"/>
          <w:bCs/>
          <w:sz w:val="21"/>
          <w:szCs w:val="21"/>
          <w:lang w:eastAsia="zh-CN"/>
        </w:rPr>
        <w:t>is particularly effective in dispersing carbon-black pigment with high efficiency and high color exhibit</w:t>
      </w:r>
      <w:r w:rsidR="003C2153">
        <w:rPr>
          <w:rFonts w:ascii="Arial" w:eastAsiaTheme="minorEastAsia" w:hAnsi="Arial" w:cs="Arial"/>
          <w:bCs/>
          <w:sz w:val="21"/>
          <w:szCs w:val="21"/>
          <w:lang w:eastAsia="zh-CN"/>
        </w:rPr>
        <w:t xml:space="preserve">, especially in enhancing the blackness of high-color carbon black pigments. </w:t>
      </w:r>
      <w:r w:rsidR="00BC6CF3" w:rsidRPr="006258B3">
        <w:rPr>
          <w:rFonts w:ascii="Arial" w:eastAsiaTheme="minorEastAsia" w:hAnsi="Arial" w:cs="Arial" w:hint="eastAsia"/>
          <w:b/>
          <w:sz w:val="21"/>
          <w:szCs w:val="21"/>
          <w:lang w:eastAsia="zh-CN"/>
        </w:rPr>
        <w:t>Coadd</w:t>
      </w:r>
      <w:r w:rsidR="006258B3" w:rsidRPr="006258B3">
        <w:rPr>
          <w:rFonts w:ascii="宋体" w:eastAsia="宋体" w:hAnsi="宋体" w:cs="Arial" w:hint="eastAsia"/>
          <w:b/>
          <w:sz w:val="21"/>
          <w:szCs w:val="21"/>
          <w:lang w:eastAsia="zh-CN"/>
        </w:rPr>
        <w:t>™</w:t>
      </w:r>
      <w:r w:rsidR="00BC6CF3" w:rsidRPr="006258B3">
        <w:rPr>
          <w:rFonts w:ascii="Arial" w:eastAsiaTheme="minorEastAsia" w:hAnsi="Arial" w:cs="Arial" w:hint="eastAsia"/>
          <w:b/>
          <w:sz w:val="21"/>
          <w:szCs w:val="21"/>
          <w:lang w:eastAsia="zh-CN"/>
        </w:rPr>
        <w:t xml:space="preserve"> </w:t>
      </w:r>
      <w:r w:rsidR="00941437">
        <w:rPr>
          <w:rFonts w:ascii="Arial" w:eastAsiaTheme="minorEastAsia" w:hAnsi="Arial" w:cs="Arial" w:hint="eastAsia"/>
          <w:b/>
          <w:sz w:val="21"/>
          <w:szCs w:val="21"/>
          <w:lang w:eastAsia="zh-CN"/>
        </w:rPr>
        <w:t>DO-6201</w:t>
      </w:r>
      <w:r w:rsidR="00BC6CF3">
        <w:rPr>
          <w:rFonts w:ascii="Arial" w:eastAsiaTheme="minorEastAsia" w:hAnsi="Arial" w:cs="Arial" w:hint="eastAsia"/>
          <w:sz w:val="21"/>
          <w:szCs w:val="21"/>
          <w:lang w:eastAsia="zh-CN"/>
        </w:rPr>
        <w:t xml:space="preserve"> </w:t>
      </w:r>
      <w:r w:rsidR="003C2153">
        <w:rPr>
          <w:rFonts w:ascii="Arial" w:eastAsiaTheme="minorEastAsia" w:hAnsi="Arial" w:cs="Arial"/>
          <w:sz w:val="21"/>
          <w:szCs w:val="21"/>
          <w:lang w:eastAsia="zh-CN"/>
        </w:rPr>
        <w:t xml:space="preserve">can also be used for other organic and inorganic pigments. </w:t>
      </w:r>
      <w:r w:rsidR="006258B3" w:rsidRPr="006258B3">
        <w:rPr>
          <w:rFonts w:ascii="Arial" w:eastAsiaTheme="minorEastAsia" w:hAnsi="Arial" w:cs="Arial" w:hint="eastAsia"/>
          <w:b/>
          <w:sz w:val="21"/>
          <w:szCs w:val="21"/>
          <w:lang w:eastAsia="zh-CN"/>
        </w:rPr>
        <w:t>Coadd</w:t>
      </w:r>
      <w:r w:rsidR="006258B3" w:rsidRPr="006258B3">
        <w:rPr>
          <w:rFonts w:ascii="宋体" w:eastAsia="宋体" w:hAnsi="宋体" w:cs="Arial" w:hint="eastAsia"/>
          <w:b/>
          <w:sz w:val="21"/>
          <w:szCs w:val="21"/>
          <w:lang w:eastAsia="zh-CN"/>
        </w:rPr>
        <w:t>™</w:t>
      </w:r>
      <w:r w:rsidR="006258B3" w:rsidRPr="006258B3">
        <w:rPr>
          <w:rFonts w:ascii="Arial" w:eastAsiaTheme="minorEastAsia" w:hAnsi="Arial" w:cs="Arial" w:hint="eastAsia"/>
          <w:b/>
          <w:sz w:val="21"/>
          <w:szCs w:val="21"/>
          <w:lang w:eastAsia="zh-CN"/>
        </w:rPr>
        <w:t xml:space="preserve"> </w:t>
      </w:r>
      <w:r w:rsidR="00941437">
        <w:rPr>
          <w:rFonts w:ascii="Arial" w:eastAsiaTheme="minorEastAsia" w:hAnsi="Arial" w:cs="Arial" w:hint="eastAsia"/>
          <w:b/>
          <w:sz w:val="21"/>
          <w:szCs w:val="21"/>
          <w:lang w:eastAsia="zh-CN"/>
        </w:rPr>
        <w:t>DO-6201</w:t>
      </w:r>
      <w:r w:rsidR="003C2153">
        <w:rPr>
          <w:rFonts w:ascii="Arial" w:eastAsiaTheme="minorEastAsia" w:hAnsi="Arial" w:cs="Arial"/>
          <w:b/>
          <w:sz w:val="21"/>
          <w:szCs w:val="21"/>
          <w:lang w:eastAsia="zh-CN"/>
        </w:rPr>
        <w:t xml:space="preserve"> </w:t>
      </w:r>
      <w:r w:rsidR="003C2153">
        <w:rPr>
          <w:rFonts w:ascii="Arial" w:eastAsiaTheme="minorEastAsia" w:hAnsi="Arial" w:cs="Arial"/>
          <w:bCs/>
          <w:sz w:val="21"/>
          <w:szCs w:val="21"/>
          <w:lang w:eastAsia="zh-CN"/>
        </w:rPr>
        <w:t>shows excellent property in viscosity reduction in UV formulations with high matte content</w:t>
      </w:r>
      <w:r w:rsidR="003C2153">
        <w:rPr>
          <w:rFonts w:ascii="Arial" w:eastAsiaTheme="minorEastAsia" w:hAnsi="Arial" w:cs="Arial"/>
          <w:sz w:val="21"/>
          <w:szCs w:val="21"/>
          <w:lang w:eastAsia="zh-CN"/>
        </w:rPr>
        <w:t>. It has good performance in maintaining viscosity stability.</w:t>
      </w:r>
      <w:r w:rsidR="006D720C">
        <w:rPr>
          <w:rFonts w:ascii="Arial" w:eastAsiaTheme="minorEastAsia" w:hAnsiTheme="minorEastAsia" w:cs="Arial" w:hint="eastAsia"/>
          <w:sz w:val="21"/>
          <w:szCs w:val="21"/>
          <w:lang w:eastAsia="zh-CN"/>
        </w:rPr>
        <w:t xml:space="preserve"> </w:t>
      </w:r>
    </w:p>
    <w:p w:rsidR="00E85AF0" w:rsidRPr="00B6759F" w:rsidRDefault="006D720C" w:rsidP="006D720C">
      <w:pPr>
        <w:spacing w:line="312" w:lineRule="auto"/>
        <w:rPr>
          <w:rFonts w:ascii="Arial" w:eastAsia="宋体" w:hAnsi="Arial" w:cs="Arial"/>
          <w:b/>
          <w:bCs/>
          <w:sz w:val="28"/>
          <w:szCs w:val="28"/>
          <w:lang w:eastAsia="zh-CN"/>
        </w:rPr>
      </w:pPr>
      <w:r>
        <w:rPr>
          <w:rFonts w:ascii="Arial" w:eastAsia="宋体" w:hAnsi="宋体" w:cs="Arial" w:hint="eastAsia"/>
          <w:b/>
          <w:bCs/>
          <w:sz w:val="28"/>
          <w:szCs w:val="28"/>
          <w:lang w:eastAsia="zh-CN"/>
        </w:rPr>
        <w:t>PHYSICAL PROPERTIES</w:t>
      </w:r>
    </w:p>
    <w:tbl>
      <w:tblPr>
        <w:tblStyle w:val="a3"/>
        <w:tblW w:w="7863"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673"/>
        <w:gridCol w:w="3190"/>
      </w:tblGrid>
      <w:tr w:rsidR="000542EA" w:rsidRPr="00B6759F" w:rsidTr="00F5507D">
        <w:trPr>
          <w:jc w:val="center"/>
        </w:trPr>
        <w:tc>
          <w:tcPr>
            <w:tcW w:w="4673" w:type="dxa"/>
            <w:vAlign w:val="center"/>
          </w:tcPr>
          <w:p w:rsidR="000542EA" w:rsidRPr="00B6759F" w:rsidRDefault="006D720C" w:rsidP="00C824DC">
            <w:pPr>
              <w:pStyle w:val="ChartData"/>
              <w:spacing w:line="312" w:lineRule="auto"/>
              <w:jc w:val="both"/>
              <w:rPr>
                <w:rFonts w:ascii="Arial" w:eastAsiaTheme="minorEastAsia" w:hAnsi="Arial" w:cs="Arial"/>
                <w:noProof w:val="0"/>
                <w:sz w:val="21"/>
                <w:szCs w:val="21"/>
                <w:lang w:eastAsia="zh-CN"/>
              </w:rPr>
            </w:pPr>
            <w:r>
              <w:rPr>
                <w:rFonts w:ascii="Arial" w:eastAsiaTheme="minorEastAsia" w:hAnsiTheme="minorEastAsia" w:cs="Arial" w:hint="eastAsia"/>
                <w:noProof w:val="0"/>
                <w:sz w:val="21"/>
                <w:szCs w:val="21"/>
                <w:lang w:eastAsia="zh-CN"/>
              </w:rPr>
              <w:t>Appearance</w:t>
            </w:r>
          </w:p>
        </w:tc>
        <w:tc>
          <w:tcPr>
            <w:tcW w:w="3190" w:type="dxa"/>
            <w:vAlign w:val="center"/>
          </w:tcPr>
          <w:p w:rsidR="000542EA" w:rsidRPr="00B6759F" w:rsidRDefault="00F5507D" w:rsidP="00C824DC">
            <w:pPr>
              <w:spacing w:line="312" w:lineRule="auto"/>
              <w:jc w:val="both"/>
              <w:rPr>
                <w:rFonts w:ascii="Arial" w:eastAsiaTheme="minorEastAsia" w:hAnsi="Arial" w:cs="Arial"/>
                <w:sz w:val="21"/>
                <w:szCs w:val="21"/>
                <w:lang w:eastAsia="zh-CN"/>
              </w:rPr>
            </w:pPr>
            <w:r>
              <w:rPr>
                <w:rFonts w:ascii="Arial" w:eastAsiaTheme="minorEastAsia" w:hAnsiTheme="minorEastAsia" w:cs="Arial"/>
                <w:sz w:val="21"/>
                <w:szCs w:val="21"/>
                <w:lang w:eastAsia="zh-CN"/>
              </w:rPr>
              <w:t xml:space="preserve">Yellow to </w:t>
            </w:r>
            <w:r>
              <w:rPr>
                <w:rFonts w:ascii="Arial" w:eastAsiaTheme="minorEastAsia" w:hAnsiTheme="minorEastAsia" w:cs="Arial" w:hint="eastAsia"/>
                <w:sz w:val="21"/>
                <w:szCs w:val="21"/>
                <w:lang w:eastAsia="zh-CN"/>
              </w:rPr>
              <w:t>bro</w:t>
            </w:r>
            <w:r>
              <w:rPr>
                <w:rFonts w:ascii="Arial" w:eastAsiaTheme="minorEastAsia" w:hAnsiTheme="minorEastAsia" w:cs="Arial"/>
                <w:sz w:val="21"/>
                <w:szCs w:val="21"/>
                <w:lang w:eastAsia="zh-CN"/>
              </w:rPr>
              <w:t xml:space="preserve">wn viscous </w:t>
            </w:r>
            <w:r w:rsidR="006D720C">
              <w:rPr>
                <w:rFonts w:ascii="Arial" w:eastAsiaTheme="minorEastAsia" w:hAnsiTheme="minorEastAsia" w:cs="Arial" w:hint="eastAsia"/>
                <w:sz w:val="21"/>
                <w:szCs w:val="21"/>
                <w:lang w:eastAsia="zh-CN"/>
              </w:rPr>
              <w:t>liquid</w:t>
            </w:r>
          </w:p>
        </w:tc>
      </w:tr>
      <w:tr w:rsidR="000542EA" w:rsidRPr="00B6759F" w:rsidTr="00F5507D">
        <w:trPr>
          <w:jc w:val="center"/>
        </w:trPr>
        <w:tc>
          <w:tcPr>
            <w:tcW w:w="4673" w:type="dxa"/>
            <w:vAlign w:val="center"/>
          </w:tcPr>
          <w:p w:rsidR="000542EA" w:rsidRPr="00B6759F" w:rsidRDefault="00F5507D" w:rsidP="00C824DC">
            <w:pPr>
              <w:pStyle w:val="ChartData"/>
              <w:spacing w:line="312" w:lineRule="auto"/>
              <w:jc w:val="both"/>
              <w:rPr>
                <w:rFonts w:ascii="Arial" w:eastAsiaTheme="minorEastAsia" w:hAnsi="Arial" w:cs="Arial"/>
                <w:noProof w:val="0"/>
                <w:sz w:val="21"/>
                <w:szCs w:val="21"/>
                <w:lang w:eastAsia="zh-CN"/>
              </w:rPr>
            </w:pPr>
            <w:r>
              <w:rPr>
                <w:rFonts w:ascii="Arial" w:eastAsiaTheme="minorEastAsia" w:hAnsiTheme="minorEastAsia" w:cs="Arial"/>
                <w:noProof w:val="0"/>
                <w:sz w:val="21"/>
                <w:szCs w:val="21"/>
                <w:lang w:eastAsia="zh-CN"/>
              </w:rPr>
              <w:t>Active</w:t>
            </w:r>
            <w:r w:rsidR="006D720C">
              <w:rPr>
                <w:rFonts w:ascii="Arial" w:eastAsiaTheme="minorEastAsia" w:hAnsiTheme="minorEastAsia" w:cs="Arial" w:hint="eastAsia"/>
                <w:noProof w:val="0"/>
                <w:sz w:val="21"/>
                <w:szCs w:val="21"/>
                <w:lang w:eastAsia="zh-CN"/>
              </w:rPr>
              <w:t xml:space="preserve"> content, (</w:t>
            </w:r>
            <w:r w:rsidR="000542EA" w:rsidRPr="00B6759F">
              <w:rPr>
                <w:rFonts w:ascii="Arial" w:eastAsiaTheme="minorEastAsia" w:hAnsiTheme="minorEastAsia" w:cs="Arial"/>
                <w:noProof w:val="0"/>
                <w:sz w:val="21"/>
                <w:szCs w:val="21"/>
                <w:lang w:eastAsia="zh-CN"/>
              </w:rPr>
              <w:t>％</w:t>
            </w:r>
            <w:r w:rsidR="006D720C">
              <w:rPr>
                <w:rFonts w:ascii="Arial" w:eastAsiaTheme="minorEastAsia" w:hAnsiTheme="minorEastAsia" w:cs="Arial" w:hint="eastAsia"/>
                <w:noProof w:val="0"/>
                <w:sz w:val="21"/>
                <w:szCs w:val="21"/>
                <w:lang w:eastAsia="zh-CN"/>
              </w:rPr>
              <w:t>)</w:t>
            </w:r>
          </w:p>
        </w:tc>
        <w:tc>
          <w:tcPr>
            <w:tcW w:w="3190" w:type="dxa"/>
            <w:vAlign w:val="center"/>
          </w:tcPr>
          <w:p w:rsidR="000542EA" w:rsidRPr="00B6759F" w:rsidRDefault="00F5507D" w:rsidP="00C824DC">
            <w:pPr>
              <w:spacing w:line="312"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100</w:t>
            </w:r>
          </w:p>
        </w:tc>
      </w:tr>
      <w:tr w:rsidR="00F5507D" w:rsidRPr="00B6759F" w:rsidTr="00F5507D">
        <w:trPr>
          <w:jc w:val="center"/>
        </w:trPr>
        <w:tc>
          <w:tcPr>
            <w:tcW w:w="4673" w:type="dxa"/>
            <w:vAlign w:val="center"/>
          </w:tcPr>
          <w:p w:rsidR="00F5507D" w:rsidRDefault="00F5507D" w:rsidP="00C824DC">
            <w:pPr>
              <w:pStyle w:val="ChartData"/>
              <w:spacing w:line="312" w:lineRule="auto"/>
              <w:jc w:val="both"/>
              <w:rPr>
                <w:rFonts w:ascii="Arial" w:eastAsiaTheme="minorEastAsia" w:hAnsiTheme="minorEastAsia" w:cs="Arial"/>
                <w:noProof w:val="0"/>
                <w:sz w:val="21"/>
                <w:szCs w:val="21"/>
                <w:lang w:eastAsia="zh-CN"/>
              </w:rPr>
            </w:pPr>
            <w:r>
              <w:rPr>
                <w:rFonts w:ascii="Arial" w:eastAsiaTheme="minorEastAsia" w:hAnsiTheme="minorEastAsia" w:cs="Arial" w:hint="eastAsia"/>
                <w:noProof w:val="0"/>
                <w:sz w:val="21"/>
                <w:szCs w:val="21"/>
                <w:lang w:eastAsia="zh-CN"/>
              </w:rPr>
              <w:t>D</w:t>
            </w:r>
            <w:r>
              <w:rPr>
                <w:rFonts w:ascii="Arial" w:eastAsiaTheme="minorEastAsia" w:hAnsiTheme="minorEastAsia" w:cs="Arial"/>
                <w:noProof w:val="0"/>
                <w:sz w:val="21"/>
                <w:szCs w:val="21"/>
                <w:lang w:eastAsia="zh-CN"/>
              </w:rPr>
              <w:t>ensity (g/ml)</w:t>
            </w:r>
          </w:p>
        </w:tc>
        <w:tc>
          <w:tcPr>
            <w:tcW w:w="3190" w:type="dxa"/>
            <w:vAlign w:val="center"/>
          </w:tcPr>
          <w:p w:rsidR="00F5507D" w:rsidRDefault="00F5507D" w:rsidP="00C824DC">
            <w:pPr>
              <w:spacing w:line="312" w:lineRule="auto"/>
              <w:jc w:val="both"/>
              <w:rPr>
                <w:rFonts w:ascii="Arial" w:eastAsiaTheme="minorEastAsia" w:hAnsi="Arial" w:cs="Arial"/>
                <w:sz w:val="21"/>
                <w:szCs w:val="21"/>
                <w:lang w:eastAsia="zh-CN"/>
              </w:rPr>
            </w:pPr>
            <w:r>
              <w:rPr>
                <w:rFonts w:ascii="Arial" w:eastAsiaTheme="minorEastAsia" w:hAnsi="Arial" w:cs="Arial" w:hint="eastAsia"/>
                <w:sz w:val="21"/>
                <w:szCs w:val="21"/>
                <w:lang w:eastAsia="zh-CN"/>
              </w:rPr>
              <w:t>1</w:t>
            </w:r>
            <w:r>
              <w:rPr>
                <w:rFonts w:ascii="Arial" w:eastAsiaTheme="minorEastAsia" w:hAnsi="Arial" w:cs="Arial"/>
                <w:sz w:val="21"/>
                <w:szCs w:val="21"/>
                <w:lang w:eastAsia="zh-CN"/>
              </w:rPr>
              <w:t>.12</w:t>
            </w:r>
          </w:p>
        </w:tc>
      </w:tr>
    </w:tbl>
    <w:p w:rsidR="009D4350" w:rsidRPr="00941437" w:rsidRDefault="006D720C" w:rsidP="00941437">
      <w:pPr>
        <w:spacing w:line="312" w:lineRule="auto"/>
        <w:ind w:firstLine="284"/>
        <w:rPr>
          <w:rFonts w:ascii="Arial Narrow" w:eastAsia="楷体" w:hAnsi="Arial Narrow" w:cs="Arial" w:hint="eastAsia"/>
          <w:sz w:val="18"/>
          <w:szCs w:val="18"/>
          <w:lang w:eastAsia="zh-CN"/>
        </w:rPr>
      </w:pPr>
      <w:r w:rsidRPr="00A954D4">
        <w:rPr>
          <w:rFonts w:ascii="Arial Narrow" w:eastAsia="楷体" w:hAnsi="Arial Narrow" w:cs="Arial"/>
          <w:sz w:val="18"/>
          <w:szCs w:val="18"/>
          <w:lang w:eastAsia="zh-CN"/>
        </w:rPr>
        <w:t>Note</w:t>
      </w:r>
      <w:r w:rsidRPr="00A954D4">
        <w:rPr>
          <w:rFonts w:ascii="Arial Narrow" w:eastAsia="楷体" w:hAnsi="Arial" w:cs="Arial"/>
          <w:sz w:val="18"/>
          <w:szCs w:val="18"/>
          <w:lang w:eastAsia="zh-CN"/>
        </w:rPr>
        <w:t>：</w:t>
      </w:r>
      <w:r w:rsidRPr="00A954D4">
        <w:rPr>
          <w:rFonts w:ascii="Arial Narrow" w:eastAsia="楷体" w:hAnsi="Arial Narrow" w:cs="Arial"/>
          <w:sz w:val="18"/>
          <w:szCs w:val="18"/>
          <w:lang w:eastAsia="zh-CN"/>
        </w:rPr>
        <w:t>The</w:t>
      </w:r>
      <w:r>
        <w:rPr>
          <w:rFonts w:ascii="Arial Narrow" w:eastAsia="楷体" w:hAnsi="Arial Narrow" w:cs="Arial"/>
          <w:sz w:val="18"/>
          <w:szCs w:val="18"/>
          <w:lang w:eastAsia="zh-CN"/>
        </w:rPr>
        <w:t>se properties are only typical</w:t>
      </w:r>
      <w:r>
        <w:rPr>
          <w:rFonts w:ascii="Arial Narrow" w:eastAsia="楷体" w:hAnsi="Arial Narrow" w:cs="Arial" w:hint="eastAsia"/>
          <w:sz w:val="18"/>
          <w:szCs w:val="18"/>
          <w:lang w:eastAsia="zh-CN"/>
        </w:rPr>
        <w:t xml:space="preserve">, and do </w:t>
      </w:r>
      <w:r w:rsidRPr="00A954D4">
        <w:rPr>
          <w:rFonts w:ascii="Arial Narrow" w:eastAsia="楷体" w:hAnsi="Arial Narrow" w:cs="Arial"/>
          <w:sz w:val="18"/>
          <w:szCs w:val="18"/>
          <w:lang w:eastAsia="zh-CN"/>
        </w:rPr>
        <w:t xml:space="preserve">not </w:t>
      </w:r>
      <w:r>
        <w:rPr>
          <w:rFonts w:ascii="Arial Narrow" w:eastAsia="楷体" w:hAnsi="Arial Narrow" w:cs="Arial" w:hint="eastAsia"/>
          <w:sz w:val="18"/>
          <w:szCs w:val="18"/>
          <w:lang w:eastAsia="zh-CN"/>
        </w:rPr>
        <w:t>represent</w:t>
      </w:r>
      <w:r w:rsidRPr="00A954D4">
        <w:rPr>
          <w:rFonts w:ascii="Arial Narrow" w:eastAsia="楷体" w:hAnsi="Arial Narrow" w:cs="Arial"/>
          <w:sz w:val="18"/>
          <w:szCs w:val="18"/>
          <w:lang w:eastAsia="zh-CN"/>
        </w:rPr>
        <w:t xml:space="preserve"> </w:t>
      </w:r>
      <w:r>
        <w:rPr>
          <w:rFonts w:ascii="Arial Narrow" w:eastAsia="楷体" w:hAnsi="Arial Narrow" w:cs="Arial" w:hint="eastAsia"/>
          <w:sz w:val="18"/>
          <w:szCs w:val="18"/>
          <w:lang w:eastAsia="zh-CN"/>
        </w:rPr>
        <w:t xml:space="preserve">product </w:t>
      </w:r>
      <w:r w:rsidRPr="00A954D4">
        <w:rPr>
          <w:rFonts w:ascii="Arial Narrow" w:eastAsia="楷体" w:hAnsi="Arial Narrow" w:cs="Arial"/>
          <w:sz w:val="18"/>
          <w:szCs w:val="18"/>
          <w:lang w:eastAsia="zh-CN"/>
        </w:rPr>
        <w:t>specifications</w:t>
      </w:r>
    </w:p>
    <w:p w:rsidR="009D1DF0" w:rsidRPr="00B6759F" w:rsidRDefault="006D720C" w:rsidP="006D720C">
      <w:pPr>
        <w:spacing w:line="312" w:lineRule="auto"/>
        <w:rPr>
          <w:rFonts w:ascii="Arial" w:eastAsia="宋体" w:hAnsi="Arial" w:cs="Arial"/>
          <w:b/>
          <w:bCs/>
          <w:sz w:val="28"/>
          <w:szCs w:val="28"/>
          <w:lang w:eastAsia="zh-CN"/>
        </w:rPr>
      </w:pPr>
      <w:r>
        <w:rPr>
          <w:rFonts w:ascii="Arial" w:eastAsia="宋体" w:hAnsi="宋体" w:cs="Arial" w:hint="eastAsia"/>
          <w:b/>
          <w:bCs/>
          <w:sz w:val="28"/>
          <w:szCs w:val="28"/>
          <w:lang w:eastAsia="zh-CN"/>
        </w:rPr>
        <w:t>APPLICATION CHARACTERISTIC AND ADVANTAGES</w:t>
      </w:r>
    </w:p>
    <w:p w:rsidR="00941437" w:rsidRDefault="00BC0650" w:rsidP="00941437">
      <w:pPr>
        <w:spacing w:line="276" w:lineRule="auto"/>
        <w:jc w:val="both"/>
        <w:rPr>
          <w:rFonts w:ascii="Arial" w:eastAsiaTheme="minorEastAsia" w:hAnsi="Arial" w:cs="Arial"/>
          <w:sz w:val="21"/>
          <w:szCs w:val="21"/>
          <w:lang w:eastAsia="zh-CN"/>
        </w:rPr>
      </w:pPr>
      <w:r w:rsidRPr="00B6759F">
        <w:rPr>
          <w:rFonts w:ascii="Arial" w:eastAsiaTheme="minorEastAsia" w:hAnsi="Arial" w:cs="Arial"/>
          <w:b/>
          <w:sz w:val="21"/>
          <w:szCs w:val="21"/>
          <w:lang w:eastAsia="zh-CN"/>
        </w:rPr>
        <w:t xml:space="preserve">Coadd™ </w:t>
      </w:r>
      <w:r w:rsidR="00941437">
        <w:rPr>
          <w:rFonts w:ascii="Arial" w:eastAsiaTheme="minorEastAsia" w:hAnsi="Arial" w:cs="Arial"/>
          <w:b/>
          <w:sz w:val="21"/>
          <w:szCs w:val="21"/>
          <w:lang w:eastAsia="zh-CN"/>
        </w:rPr>
        <w:t>DO-6201</w:t>
      </w:r>
      <w:r w:rsidR="00575627">
        <w:rPr>
          <w:rFonts w:ascii="Arial" w:eastAsiaTheme="minorEastAsia" w:hAnsi="Arial" w:cs="Arial" w:hint="eastAsia"/>
          <w:b/>
          <w:sz w:val="21"/>
          <w:szCs w:val="21"/>
          <w:lang w:eastAsia="zh-CN"/>
        </w:rPr>
        <w:t xml:space="preserve"> </w:t>
      </w:r>
      <w:r w:rsidR="00DC3B56">
        <w:rPr>
          <w:rFonts w:ascii="Arial" w:eastAsiaTheme="minorEastAsia" w:hAnsi="Arial" w:cs="Arial"/>
          <w:sz w:val="21"/>
          <w:szCs w:val="21"/>
          <w:lang w:eastAsia="zh-CN"/>
        </w:rPr>
        <w:t>has very good anchoring effect for both organic and inorganic pigments with good general-purpose applications.</w:t>
      </w:r>
      <w:r w:rsidR="00575627">
        <w:rPr>
          <w:rFonts w:ascii="Arial" w:eastAsiaTheme="minorEastAsia" w:hAnsi="Arial" w:cs="Arial" w:hint="eastAsia"/>
          <w:sz w:val="21"/>
          <w:szCs w:val="21"/>
          <w:lang w:eastAsia="zh-CN"/>
        </w:rPr>
        <w:t xml:space="preserve"> </w:t>
      </w:r>
      <w:r w:rsidR="00DC3B56">
        <w:rPr>
          <w:rFonts w:ascii="Arial" w:eastAsiaTheme="minorEastAsia" w:hAnsi="Arial" w:cs="Arial"/>
          <w:sz w:val="21"/>
          <w:szCs w:val="21"/>
          <w:lang w:eastAsia="zh-CN"/>
        </w:rPr>
        <w:t xml:space="preserve">It offers good viscosity stability and color exhibit. </w:t>
      </w:r>
    </w:p>
    <w:p w:rsidR="00BC0650" w:rsidRDefault="00941437" w:rsidP="00941437">
      <w:pPr>
        <w:spacing w:line="276"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S</w:t>
      </w:r>
      <w:r w:rsidR="00DC3B56">
        <w:rPr>
          <w:rFonts w:ascii="Arial" w:eastAsiaTheme="minorEastAsia" w:hAnsi="Arial" w:cs="Arial"/>
          <w:sz w:val="21"/>
          <w:szCs w:val="21"/>
          <w:lang w:eastAsia="zh-CN"/>
        </w:rPr>
        <w:t>uggested dosages</w:t>
      </w:r>
      <w:r>
        <w:rPr>
          <w:rFonts w:ascii="Arial" w:eastAsiaTheme="minorEastAsia" w:hAnsi="Arial" w:cs="Arial"/>
          <w:sz w:val="21"/>
          <w:szCs w:val="21"/>
          <w:lang w:eastAsia="zh-CN"/>
        </w:rPr>
        <w:t xml:space="preserve"> (</w:t>
      </w:r>
      <w:r w:rsidR="00DC3B56">
        <w:rPr>
          <w:rFonts w:ascii="Arial" w:eastAsiaTheme="minorEastAsia" w:hAnsi="Arial" w:cs="Arial" w:hint="eastAsia"/>
          <w:sz w:val="21"/>
          <w:szCs w:val="21"/>
          <w:lang w:eastAsia="zh-CN"/>
        </w:rPr>
        <w:t>base</w:t>
      </w:r>
      <w:r w:rsidR="00DC3B56">
        <w:rPr>
          <w:rFonts w:ascii="Arial" w:eastAsiaTheme="minorEastAsia" w:hAnsi="Arial" w:cs="Arial"/>
          <w:sz w:val="21"/>
          <w:szCs w:val="21"/>
          <w:lang w:eastAsia="zh-CN"/>
        </w:rPr>
        <w:t>d on total pigments</w:t>
      </w:r>
      <w:r>
        <w:rPr>
          <w:rFonts w:ascii="Arial" w:eastAsiaTheme="minorEastAsia" w:hAnsi="Arial" w:cs="Arial"/>
          <w:sz w:val="21"/>
          <w:szCs w:val="21"/>
          <w:lang w:eastAsia="zh-CN"/>
        </w:rPr>
        <w:t xml:space="preserve"> volume):</w:t>
      </w:r>
    </w:p>
    <w:p w:rsidR="00941437" w:rsidRDefault="00941437" w:rsidP="00941437">
      <w:pPr>
        <w:pStyle w:val="a4"/>
        <w:numPr>
          <w:ilvl w:val="0"/>
          <w:numId w:val="1"/>
        </w:numPr>
        <w:spacing w:after="0" w:line="276" w:lineRule="auto"/>
        <w:ind w:hanging="278"/>
        <w:jc w:val="both"/>
        <w:rPr>
          <w:rFonts w:ascii="Arial" w:eastAsiaTheme="minorEastAsia" w:hAnsi="Arial" w:cs="Arial"/>
          <w:sz w:val="21"/>
          <w:szCs w:val="21"/>
          <w:lang w:eastAsia="zh-CN"/>
        </w:rPr>
      </w:pPr>
      <w:r>
        <w:rPr>
          <w:rFonts w:ascii="Arial" w:eastAsiaTheme="minorEastAsia" w:hAnsi="Arial" w:cs="Arial"/>
          <w:sz w:val="21"/>
          <w:szCs w:val="21"/>
          <w:lang w:eastAsia="zh-CN"/>
        </w:rPr>
        <w:t>Titanium oxide</w:t>
      </w:r>
      <w:r>
        <w:rPr>
          <w:rFonts w:ascii="Arial" w:eastAsiaTheme="minorEastAsia" w:hAnsi="Arial" w:cs="Arial"/>
          <w:sz w:val="21"/>
          <w:szCs w:val="21"/>
          <w:lang w:eastAsia="zh-CN"/>
        </w:rPr>
        <w:t>: 1 – 2.5%;</w:t>
      </w:r>
    </w:p>
    <w:p w:rsidR="00941437" w:rsidRDefault="00941437" w:rsidP="00941437">
      <w:pPr>
        <w:pStyle w:val="a4"/>
        <w:numPr>
          <w:ilvl w:val="0"/>
          <w:numId w:val="1"/>
        </w:numPr>
        <w:spacing w:after="0" w:line="276" w:lineRule="auto"/>
        <w:ind w:hanging="278"/>
        <w:jc w:val="both"/>
        <w:rPr>
          <w:rFonts w:ascii="Arial" w:eastAsiaTheme="minorEastAsia" w:hAnsi="Arial" w:cs="Arial"/>
          <w:sz w:val="21"/>
          <w:szCs w:val="21"/>
          <w:lang w:eastAsia="zh-CN"/>
        </w:rPr>
      </w:pPr>
      <w:r>
        <w:rPr>
          <w:rFonts w:ascii="Arial" w:eastAsiaTheme="minorEastAsia" w:hAnsi="Arial" w:cs="Arial"/>
          <w:sz w:val="21"/>
          <w:szCs w:val="21"/>
          <w:lang w:eastAsia="zh-CN"/>
        </w:rPr>
        <w:t>Inorganic pigments: 2 – 5%;</w:t>
      </w:r>
    </w:p>
    <w:p w:rsidR="00941437" w:rsidRDefault="00941437" w:rsidP="00941437">
      <w:pPr>
        <w:pStyle w:val="a4"/>
        <w:numPr>
          <w:ilvl w:val="0"/>
          <w:numId w:val="1"/>
        </w:numPr>
        <w:spacing w:after="0" w:line="276" w:lineRule="auto"/>
        <w:ind w:hanging="278"/>
        <w:jc w:val="both"/>
        <w:rPr>
          <w:rFonts w:ascii="Arial" w:eastAsiaTheme="minorEastAsia" w:hAnsi="Arial" w:cs="Arial"/>
          <w:sz w:val="21"/>
          <w:szCs w:val="21"/>
          <w:lang w:eastAsia="zh-CN"/>
        </w:rPr>
      </w:pPr>
      <w:r>
        <w:rPr>
          <w:rFonts w:ascii="Arial" w:eastAsiaTheme="minorEastAsia" w:hAnsi="Arial" w:cs="Arial" w:hint="eastAsia"/>
          <w:sz w:val="21"/>
          <w:szCs w:val="21"/>
          <w:lang w:eastAsia="zh-CN"/>
        </w:rPr>
        <w:t>O</w:t>
      </w:r>
      <w:r>
        <w:rPr>
          <w:rFonts w:ascii="Arial" w:eastAsiaTheme="minorEastAsia" w:hAnsi="Arial" w:cs="Arial"/>
          <w:sz w:val="21"/>
          <w:szCs w:val="21"/>
          <w:lang w:eastAsia="zh-CN"/>
        </w:rPr>
        <w:t>rganic pigments: 10 – 25%;</w:t>
      </w:r>
    </w:p>
    <w:p w:rsidR="00941437" w:rsidRDefault="00941437" w:rsidP="00941437">
      <w:pPr>
        <w:pStyle w:val="a4"/>
        <w:numPr>
          <w:ilvl w:val="0"/>
          <w:numId w:val="1"/>
        </w:numPr>
        <w:spacing w:after="0" w:line="276" w:lineRule="auto"/>
        <w:ind w:hanging="278"/>
        <w:jc w:val="both"/>
        <w:rPr>
          <w:rFonts w:ascii="Arial" w:eastAsiaTheme="minorEastAsia" w:hAnsi="Arial" w:cs="Arial"/>
          <w:sz w:val="21"/>
          <w:szCs w:val="21"/>
          <w:lang w:eastAsia="zh-CN"/>
        </w:rPr>
      </w:pPr>
      <w:r>
        <w:rPr>
          <w:rFonts w:ascii="Arial" w:eastAsiaTheme="minorEastAsia" w:hAnsi="Arial" w:cs="Arial"/>
          <w:sz w:val="21"/>
          <w:szCs w:val="21"/>
          <w:lang w:eastAsia="zh-CN"/>
        </w:rPr>
        <w:t>Carbon black: 15 – 50%</w:t>
      </w:r>
    </w:p>
    <w:p w:rsidR="00575627" w:rsidRPr="00584A24" w:rsidRDefault="00575627" w:rsidP="00941437">
      <w:pPr>
        <w:spacing w:line="276" w:lineRule="auto"/>
        <w:rPr>
          <w:rFonts w:ascii="Arial" w:eastAsia="宋体" w:hAnsi="Arial" w:cs="Arial"/>
          <w:b/>
          <w:sz w:val="28"/>
          <w:lang w:eastAsia="zh-CN"/>
        </w:rPr>
      </w:pPr>
      <w:r w:rsidRPr="00584A24">
        <w:rPr>
          <w:rFonts w:ascii="Arial" w:eastAsia="宋体" w:hAnsi="Arial" w:cs="Arial"/>
          <w:b/>
          <w:sz w:val="28"/>
          <w:lang w:eastAsia="zh-CN"/>
        </w:rPr>
        <w:t>SAFETY NOTICE</w:t>
      </w:r>
    </w:p>
    <w:p w:rsidR="00575627" w:rsidRPr="00941437" w:rsidRDefault="00575627" w:rsidP="00941437">
      <w:pPr>
        <w:spacing w:line="276" w:lineRule="auto"/>
        <w:rPr>
          <w:rFonts w:ascii="Arial" w:eastAsiaTheme="minorEastAsia" w:hAnsi="Arial" w:cs="Arial" w:hint="eastAsia"/>
          <w:sz w:val="21"/>
          <w:szCs w:val="22"/>
          <w:lang w:eastAsia="zh-CN"/>
        </w:rPr>
      </w:pPr>
      <w:r w:rsidRPr="00584A24">
        <w:rPr>
          <w:rFonts w:ascii="Arial" w:eastAsiaTheme="minorEastAsia" w:hAnsi="Arial" w:cs="Arial"/>
          <w:sz w:val="21"/>
          <w:szCs w:val="22"/>
          <w:lang w:eastAsia="zh-CN"/>
        </w:rPr>
        <w:t>Before using the products, please refer to SDS for detailed safety data, handling and storage procedures recommended.</w:t>
      </w:r>
    </w:p>
    <w:p w:rsidR="00575627" w:rsidRPr="00584A24" w:rsidRDefault="00575627" w:rsidP="00941437">
      <w:pPr>
        <w:spacing w:line="276" w:lineRule="auto"/>
        <w:rPr>
          <w:rFonts w:ascii="Arial" w:eastAsia="宋体" w:hAnsi="Arial" w:cs="Arial"/>
          <w:b/>
          <w:sz w:val="28"/>
          <w:lang w:eastAsia="zh-CN"/>
        </w:rPr>
      </w:pPr>
      <w:r w:rsidRPr="00584A24">
        <w:rPr>
          <w:rFonts w:ascii="Arial" w:eastAsia="宋体" w:hAnsi="Arial" w:cs="Arial"/>
          <w:b/>
          <w:sz w:val="28"/>
          <w:lang w:eastAsia="zh-CN"/>
        </w:rPr>
        <w:t>DISCLAIMER</w:t>
      </w:r>
    </w:p>
    <w:p w:rsidR="00575627" w:rsidRPr="00941437" w:rsidRDefault="00575627" w:rsidP="00941437">
      <w:pPr>
        <w:spacing w:line="276" w:lineRule="auto"/>
        <w:rPr>
          <w:rFonts w:ascii="Arial" w:eastAsia="宋体" w:hAnsi="Arial" w:cs="Arial" w:hint="eastAsia"/>
          <w:b/>
          <w:bCs/>
          <w:szCs w:val="28"/>
          <w:lang w:eastAsia="zh-CN"/>
        </w:rPr>
      </w:pPr>
      <w:r w:rsidRPr="00584A24">
        <w:rPr>
          <w:rFonts w:ascii="Arial" w:eastAsia="宋体" w:hAnsi="Arial" w:cs="Arial"/>
          <w:sz w:val="21"/>
          <w:szCs w:val="22"/>
          <w:lang w:eastAsia="zh-CN"/>
        </w:rPr>
        <w:t>It is common proposal for product usage and demand above information based on our professional knowledge. Due to environmental uncertainty and out of our control from practical process, please test and make evaluation ahead of use to ensure efficient and safe. For your reference, the above information is only for commonly know</w:t>
      </w:r>
      <w:r w:rsidR="00941437">
        <w:rPr>
          <w:rFonts w:ascii="Arial" w:eastAsia="宋体" w:hAnsi="Arial" w:cs="Arial"/>
          <w:sz w:val="21"/>
          <w:szCs w:val="22"/>
          <w:lang w:eastAsia="zh-CN"/>
        </w:rPr>
        <w:t>n</w:t>
      </w:r>
      <w:r w:rsidRPr="00584A24">
        <w:rPr>
          <w:rFonts w:ascii="Arial" w:eastAsia="宋体" w:hAnsi="Arial" w:cs="Arial"/>
          <w:sz w:val="21"/>
          <w:szCs w:val="22"/>
          <w:lang w:eastAsia="zh-CN"/>
        </w:rPr>
        <w:t xml:space="preserve"> and use the product. It is guaranteed to meet quality and product specification.</w:t>
      </w:r>
    </w:p>
    <w:p w:rsidR="00E555FC" w:rsidRPr="00941437" w:rsidRDefault="00575627" w:rsidP="00941437">
      <w:pPr>
        <w:jc w:val="center"/>
        <w:rPr>
          <w:rFonts w:ascii="Arial" w:eastAsia="宋体" w:hAnsi="Arial" w:cs="Arial" w:hint="eastAsia"/>
          <w:sz w:val="21"/>
          <w:szCs w:val="21"/>
          <w:lang w:eastAsia="zh-CN"/>
        </w:rPr>
      </w:pPr>
      <w:r w:rsidRPr="00584A24">
        <w:rPr>
          <w:rFonts w:ascii="Arial" w:eastAsia="宋体" w:hAnsi="Arial" w:cs="Arial"/>
          <w:b/>
          <w:color w:val="004646"/>
          <w:spacing w:val="-1"/>
          <w:sz w:val="21"/>
          <w:szCs w:val="21"/>
          <w:lang w:eastAsia="zh-CN"/>
        </w:rPr>
        <w:t>**</w:t>
      </w:r>
      <w:r w:rsidRPr="00584A24">
        <w:rPr>
          <w:rFonts w:ascii="Arial" w:eastAsia="宋体" w:hAnsi="Arial" w:cs="Arial"/>
          <w:b/>
          <w:color w:val="004646"/>
          <w:spacing w:val="-5"/>
          <w:sz w:val="21"/>
          <w:szCs w:val="21"/>
          <w:lang w:eastAsia="zh-CN"/>
        </w:rPr>
        <w:t>Please refer to SDS for more information</w:t>
      </w:r>
    </w:p>
    <w:sectPr w:rsidR="00E555FC" w:rsidRPr="00941437" w:rsidSect="00640E62">
      <w:headerReference w:type="default" r:id="rId7"/>
      <w:footerReference w:type="default" r:id="rId8"/>
      <w:pgSz w:w="11906" w:h="16838"/>
      <w:pgMar w:top="1440" w:right="1800" w:bottom="1440" w:left="1800" w:header="850"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0CA5" w:rsidRDefault="00670CA5" w:rsidP="00D67962">
      <w:r>
        <w:separator/>
      </w:r>
    </w:p>
  </w:endnote>
  <w:endnote w:type="continuationSeparator" w:id="0">
    <w:p w:rsidR="00670CA5" w:rsidRDefault="00670CA5"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983944"/>
      <w:docPartObj>
        <w:docPartGallery w:val="Page Numbers (Bottom of Page)"/>
        <w:docPartUnique/>
      </w:docPartObj>
    </w:sdtPr>
    <w:sdtContent>
      <w:sdt>
        <w:sdtPr>
          <w:id w:val="98381352"/>
          <w:docPartObj>
            <w:docPartGallery w:val="Page Numbers (Top of Page)"/>
            <w:docPartUnique/>
          </w:docPartObj>
        </w:sdtPr>
        <w:sdtContent>
          <w:p w:rsidR="00575627" w:rsidRPr="00D714A8" w:rsidRDefault="00A27827" w:rsidP="00575627">
            <w:pPr>
              <w:pStyle w:val="a7"/>
              <w:rPr>
                <w:rFonts w:eastAsiaTheme="minorEastAsia"/>
                <w:lang w:eastAsia="zh-CN"/>
              </w:rPr>
            </w:pPr>
            <w:r>
              <w:rPr>
                <w:noProof/>
                <w:lang w:eastAsia="zh-CN"/>
              </w:rPr>
              <mc:AlternateContent>
                <mc:Choice Requires="wps">
                  <w:drawing>
                    <wp:anchor distT="0" distB="0" distL="114300" distR="114300" simplePos="0" relativeHeight="251666432" behindDoc="0" locked="0" layoutInCell="1" allowOverlap="1">
                      <wp:simplePos x="0" y="0"/>
                      <wp:positionH relativeFrom="column">
                        <wp:posOffset>-31115</wp:posOffset>
                      </wp:positionH>
                      <wp:positionV relativeFrom="paragraph">
                        <wp:posOffset>-86995</wp:posOffset>
                      </wp:positionV>
                      <wp:extent cx="5347335" cy="0"/>
                      <wp:effectExtent l="6985" t="8255" r="8255" b="1079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A704B5" id="_x0000_t32" coordsize="21600,21600" o:spt="32" o:oned="t" path="m,l21600,21600e" filled="f">
                      <v:path arrowok="t" fillok="f" o:connecttype="none"/>
                      <o:lock v:ext="edit" shapetype="t"/>
                    </v:shapetype>
                    <v:shape id="AutoShape 7" o:spid="_x0000_s1026" type="#_x0000_t32" style="position:absolute;left:0;text-align:left;margin-left:-2.45pt;margin-top:-6.85pt;width:421.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CzAEAAHwDAAAOAAAAZHJzL2Uyb0RvYy54bWysU9uOEzEMfUfiH6K8s9MLZWHU6Qp1WV4W&#10;qLTLB7hJZiYiE0dO2mn/Hie9sMAbYh4iJ/Y5to89y7vD4MTeULToGzm9mUhhvEJtfdfI788Pb95L&#10;ERN4DQ69aeTRRHm3ev1qOYbazLBHpw0JJvGxHkMj+5RCXVVR9WaAeIPBeHa2SAMkvlJXaYKR2QdX&#10;zSaTd9WIpAOhMjHy6/3JKVeFv22NSt/aNpokXCO5tlROKuc2n9VqCXVHEHqrzmXAP1QxgPWc9Ep1&#10;DwnEjuxfVINVhBHbdKNwqLBtrTKlB+5mOvmjm6cegim9sDgxXGWK/49Wfd1vSFjdyJkUHgYe0cdd&#10;wpJZ3GZ5xhBrjlr7DeUG1cE/hUdUP6LwuO7Bd6YEPx8DY6cZUf0GyZcYOMl2/IKaY4D5i1aHloZM&#10;ySqIQxnJ8ToSc0hC8eNi/vZ2Pl9IoS6+CuoLMFBMnw0OIhuNjInAdn1ao/c8eKRpSQP7x5hyWVBf&#10;ADmrxwfrXJm/82Js5IfFbFEAEZ3V2ZnDInXbtSOxh7xB5Ss9sudlGOHO60LWG9CfznYC6042J3f+&#10;LE1W46TrFvVxQxfJeMSlyvM65h16eS/oXz/N6icAAAD//wMAUEsDBBQABgAIAAAAIQCSzBl63wAA&#10;AAoBAAAPAAAAZHJzL2Rvd25yZXYueG1sTI/BbsIwDIbvk3iHyEhcJkhbtgFdU4SQdthxgLRraLy2&#10;W+NUTUo7nn6eNImdLNuffn/OtqNtxAU7XztSEC8iEEiFMzWVCk7Hl/kahA+ajG4coYJv9LDNJ3eZ&#10;To0b6A0vh1AKDiGfagVVCG0qpS8qtNovXIvEuw/XWR247UppOj1wuG1kEkVP0uqa+EKlW9xXWHwd&#10;eqsAff8YR7uNLU+v1+H+Pbl+Du1Rqdl03D2DCDiGGwy/+qwOOTudXU/Gi0bB/GHDJNd4uQLBwHq5&#10;SkCc/yYyz+T/F/IfAAAA//8DAFBLAQItABQABgAIAAAAIQC2gziS/gAAAOEBAAATAAAAAAAAAAAA&#10;AAAAAAAAAABbQ29udGVudF9UeXBlc10ueG1sUEsBAi0AFAAGAAgAAAAhADj9If/WAAAAlAEAAAsA&#10;AAAAAAAAAAAAAAAALwEAAF9yZWxzLy5yZWxzUEsBAi0AFAAGAAgAAAAhAFX/ZMLMAQAAfAMAAA4A&#10;AAAAAAAAAAAAAAAALgIAAGRycy9lMm9Eb2MueG1sUEsBAi0AFAAGAAgAAAAhAJLMGXrfAAAACgEA&#10;AA8AAAAAAAAAAAAAAAAAJgQAAGRycy9kb3ducmV2LnhtbFBLBQYAAAAABAAEAPMAAAAyBQAAAAA=&#10;"/>
                  </w:pict>
                </mc:Fallback>
              </mc:AlternateContent>
            </w:r>
            <w:r w:rsidR="00575627">
              <w:rPr>
                <w:rFonts w:eastAsiaTheme="minorEastAsia" w:hint="eastAsia"/>
                <w:lang w:eastAsia="zh-CN"/>
              </w:rPr>
              <w:t xml:space="preserve">No 3399 </w:t>
            </w:r>
            <w:r w:rsidR="00AF7DAE">
              <w:rPr>
                <w:rFonts w:eastAsiaTheme="minorEastAsia" w:hint="eastAsia"/>
                <w:lang w:eastAsia="zh-CN"/>
              </w:rPr>
              <w:t>Kang-Xin Highway, Building 17</w:t>
            </w:r>
            <w:r w:rsidR="00575627">
              <w:rPr>
                <w:rFonts w:eastAsiaTheme="minorEastAsia" w:hint="eastAsia"/>
                <w:lang w:eastAsia="zh-CN"/>
              </w:rPr>
              <w:t>. Pu-Dong District, Shanghai</w:t>
            </w:r>
          </w:p>
          <w:p w:rsidR="00640E62" w:rsidRPr="00640E62" w:rsidRDefault="00575627" w:rsidP="00575627">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ab/>
              <w:t xml:space="preserve">  </w:t>
            </w:r>
            <w:r w:rsidR="008F309B">
              <w:rPr>
                <w:rFonts w:eastAsiaTheme="minorEastAsia" w:hint="eastAsia"/>
                <w:lang w:eastAsia="zh-CN"/>
              </w:rPr>
              <w:t xml:space="preserve">                             </w:t>
            </w:r>
            <w:r>
              <w:rPr>
                <w:rFonts w:eastAsiaTheme="minorEastAsia" w:hint="eastAsia"/>
                <w:lang w:eastAsia="zh-CN"/>
              </w:rPr>
              <w:t xml:space="preserve">                              </w:t>
            </w:r>
            <w:r w:rsidR="008F309B">
              <w:rPr>
                <w:rFonts w:eastAsiaTheme="minorEastAsia" w:hint="eastAsia"/>
                <w:lang w:eastAsia="zh-CN"/>
              </w:rPr>
              <w:t xml:space="preserve"> </w:t>
            </w:r>
            <w:r w:rsidR="00FD733D">
              <w:rPr>
                <w:b/>
                <w:sz w:val="24"/>
                <w:szCs w:val="24"/>
              </w:rPr>
              <w:fldChar w:fldCharType="begin"/>
            </w:r>
            <w:r w:rsidR="00640E62">
              <w:rPr>
                <w:b/>
              </w:rPr>
              <w:instrText>PAGE</w:instrText>
            </w:r>
            <w:r w:rsidR="00FD733D">
              <w:rPr>
                <w:b/>
                <w:sz w:val="24"/>
                <w:szCs w:val="24"/>
              </w:rPr>
              <w:fldChar w:fldCharType="separate"/>
            </w:r>
            <w:r w:rsidR="007674B0">
              <w:rPr>
                <w:b/>
                <w:noProof/>
              </w:rPr>
              <w:t>1</w:t>
            </w:r>
            <w:r w:rsidR="00FD733D">
              <w:rPr>
                <w:b/>
                <w:sz w:val="24"/>
                <w:szCs w:val="24"/>
              </w:rPr>
              <w:fldChar w:fldCharType="end"/>
            </w:r>
            <w:r w:rsidR="00640E62" w:rsidRPr="00640E62">
              <w:t xml:space="preserve"> / </w:t>
            </w:r>
            <w:r w:rsidR="00FD733D">
              <w:rPr>
                <w:b/>
                <w:sz w:val="24"/>
                <w:szCs w:val="24"/>
              </w:rPr>
              <w:fldChar w:fldCharType="begin"/>
            </w:r>
            <w:r w:rsidR="00640E62">
              <w:rPr>
                <w:b/>
              </w:rPr>
              <w:instrText>NUMPAGES</w:instrText>
            </w:r>
            <w:r w:rsidR="00FD733D">
              <w:rPr>
                <w:b/>
                <w:sz w:val="24"/>
                <w:szCs w:val="24"/>
              </w:rPr>
              <w:fldChar w:fldCharType="separate"/>
            </w:r>
            <w:r w:rsidR="007674B0">
              <w:rPr>
                <w:b/>
                <w:noProof/>
              </w:rPr>
              <w:t>2</w:t>
            </w:r>
            <w:r w:rsidR="00FD733D">
              <w:rPr>
                <w:b/>
                <w:sz w:val="24"/>
                <w:szCs w:val="24"/>
              </w:rPr>
              <w:fldChar w:fldCharType="end"/>
            </w:r>
          </w:p>
        </w:sdtContent>
      </w:sdt>
    </w:sdtContent>
  </w:sdt>
  <w:p w:rsidR="00640E62" w:rsidRPr="00640E62" w:rsidRDefault="00640E62">
    <w:pPr>
      <w:pStyle w:val="a7"/>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0CA5" w:rsidRDefault="00670CA5" w:rsidP="00D67962">
      <w:r>
        <w:separator/>
      </w:r>
    </w:p>
  </w:footnote>
  <w:footnote w:type="continuationSeparator" w:id="0">
    <w:p w:rsidR="00670CA5" w:rsidRDefault="00670CA5"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381B" w:rsidRPr="00AF7DAE" w:rsidRDefault="007674B0" w:rsidP="007674B0">
    <w:pPr>
      <w:pStyle w:val="a5"/>
      <w:pBdr>
        <w:bottom w:val="single" w:sz="6" w:space="2" w:color="auto"/>
      </w:pBdr>
      <w:jc w:val="left"/>
      <w:rPr>
        <w:rFonts w:eastAsiaTheme="minorEastAsia"/>
        <w:lang w:eastAsia="zh-CN"/>
      </w:rPr>
    </w:pPr>
    <w:r w:rsidRPr="007674B0">
      <w:rPr>
        <w:rFonts w:eastAsiaTheme="minorEastAsia"/>
        <w:noProof/>
        <w:lang w:eastAsia="zh-CN"/>
      </w:rPr>
      <w:drawing>
        <wp:inline distT="0" distB="0" distL="0" distR="0">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A27827">
      <w:rPr>
        <w:noProof/>
        <w:lang w:eastAsia="zh-CN"/>
      </w:rPr>
      <mc:AlternateContent>
        <mc:Choice Requires="wps">
          <w:drawing>
            <wp:anchor distT="0" distB="0" distL="114300" distR="114300" simplePos="0" relativeHeight="251662336" behindDoc="0" locked="0" layoutInCell="1" allowOverlap="1">
              <wp:simplePos x="0" y="0"/>
              <wp:positionH relativeFrom="column">
                <wp:posOffset>1290955</wp:posOffset>
              </wp:positionH>
              <wp:positionV relativeFrom="paragraph">
                <wp:posOffset>317500</wp:posOffset>
              </wp:positionV>
              <wp:extent cx="3481070" cy="247650"/>
              <wp:effectExtent l="0" t="0" r="508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247650"/>
                      </a:xfrm>
                      <a:prstGeom prst="rect">
                        <a:avLst/>
                      </a:prstGeom>
                      <a:solidFill>
                        <a:srgbClr val="FFFFFF"/>
                      </a:solidFill>
                      <a:ln w="9525">
                        <a:solidFill>
                          <a:schemeClr val="bg1">
                            <a:lumMod val="100000"/>
                            <a:lumOff val="0"/>
                          </a:schemeClr>
                        </a:solidFill>
                        <a:miter lim="800000"/>
                        <a:headEnd/>
                        <a:tailEnd/>
                      </a:ln>
                    </wps:spPr>
                    <wps:txbx>
                      <w:txbxContent>
                        <w:p w:rsidR="00B6759F" w:rsidRDefault="00B6759F" w:rsidP="00B6759F">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1.65pt;margin-top:25pt;width:274.1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RZMwIAAGIEAAAOAAAAZHJzL2Uyb0RvYy54bWysVF1v2yAUfZ+0/4B4X+xkSZtacaouXaZJ&#10;3YfU7QdgjG004DIgsbNf3wtO0rR7m+YHBFw43HPuuV7dDlqRvXBeginpdJJTIgyHWpq2pD9/bN8t&#10;KfGBmZopMKKkB+Hp7frtm1VvCzGDDlQtHEEQ44velrQLwRZZ5nknNPMTsMJgsAGnWcCla7PasR7R&#10;tcpmeX6V9eBq64AL73H3fgzSdcJvGsHDt6bxIhBVUswtpNGlsYpjtl6xonXMdpIf02D/kIVm0uCj&#10;Z6h7FhjZOfkXlJbcgYcmTDjoDJpGcpE4IJtp/orNY8esSFxQHG/PMvn/B8u/7h/td0fC8AEGLGAi&#10;4e0D8F+eGNh0zLTizjnoO8FqfHgaJct664vj1Si1L3wEqfovUGOR2S5AAhoap6MqyJMgOhbgcBZd&#10;DIFw3Hw/X07zawxxjM3m11eLVJWMFafb1vnwSYAmcVJSh0VN6Gz/4EPMhhWnI/ExD0rWW6lUWri2&#10;2ihH9gwNsE1fIvDqmDKkL+nNYrYYBXgBEb0oziBVO4qkdhrZjsDTPH6jmXAfLTfun5gkO0eIlOyL&#10;BLUM2ABK6pIuL1Ci2h9NnewZmFTjHJkqc5Q/Kj5qH4ZqwIOxDBXUByyEg9Ho2Jg46cD9oaRHk5fU&#10;/94xJyhRnw0W82Y6n8euSIv54nqGC3cZqS4jzHCEKmmgZJxuwthJO+tk2+FLozIG7tAAjUy1ec7q&#10;mDcaOalwbLrYKZfrdOr517B+AgAA//8DAFBLAwQUAAYACAAAACEAaMdwXeAAAAAJAQAADwAAAGRy&#10;cy9kb3ducmV2LnhtbEyPy07DMBBF90j8gzVI7KjdlvQRMqkQiO5QRagKSycekoh4HMVuG/h6zAqW&#10;ozm699xsM9pOnGjwrWOE6USBIK6cablG2L8+3axA+KDZ6M4xIXyRh01+eZHp1Lgzv9CpCLWIIexT&#10;jdCE0KdS+qohq/3E9cTx9+EGq0M8h1qaQZ9juO3kTKmFtLrl2NDonh4aqj6Lo0XwlVocdrfF4a2U&#10;W/peG/P4vn1GvL4a7+9ABBrDHwy/+lEd8uhUuiMbLzqEmZrPI4qQqLgpAstkmoAoEVZrBTLP5P8F&#10;+Q8AAAD//wMAUEsBAi0AFAAGAAgAAAAhALaDOJL+AAAA4QEAABMAAAAAAAAAAAAAAAAAAAAAAFtD&#10;b250ZW50X1R5cGVzXS54bWxQSwECLQAUAAYACAAAACEAOP0h/9YAAACUAQAACwAAAAAAAAAAAAAA&#10;AAAvAQAAX3JlbHMvLnJlbHNQSwECLQAUAAYACAAAACEA3yi0WTMCAABiBAAADgAAAAAAAAAAAAAA&#10;AAAuAgAAZHJzL2Uyb0RvYy54bWxQSwECLQAUAAYACAAAACEAaMdwXeAAAAAJAQAADwAAAAAAAAAA&#10;AAAAAACNBAAAZHJzL2Rvd25yZXYueG1sUEsFBgAAAAAEAAQA8wAAAJoFAAAAAA==&#10;" strokecolor="white [3212]">
              <v:textbox>
                <w:txbxContent>
                  <w:p w:rsidR="00B6759F" w:rsidRDefault="00B6759F" w:rsidP="00B6759F">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942906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31D12"/>
    <w:rsid w:val="000542EA"/>
    <w:rsid w:val="00083538"/>
    <w:rsid w:val="000A0B98"/>
    <w:rsid w:val="000B205B"/>
    <w:rsid w:val="000B311D"/>
    <w:rsid w:val="000E0727"/>
    <w:rsid w:val="000E2A44"/>
    <w:rsid w:val="000F3090"/>
    <w:rsid w:val="00122A34"/>
    <w:rsid w:val="00124276"/>
    <w:rsid w:val="00137800"/>
    <w:rsid w:val="00144B2E"/>
    <w:rsid w:val="001532CB"/>
    <w:rsid w:val="00167894"/>
    <w:rsid w:val="00194FB1"/>
    <w:rsid w:val="00195220"/>
    <w:rsid w:val="001C7285"/>
    <w:rsid w:val="001D45EB"/>
    <w:rsid w:val="001F52DB"/>
    <w:rsid w:val="0022430A"/>
    <w:rsid w:val="0025574F"/>
    <w:rsid w:val="0027540B"/>
    <w:rsid w:val="002D078D"/>
    <w:rsid w:val="00317730"/>
    <w:rsid w:val="0036648A"/>
    <w:rsid w:val="0037766C"/>
    <w:rsid w:val="003C2153"/>
    <w:rsid w:val="003E70B7"/>
    <w:rsid w:val="0040255A"/>
    <w:rsid w:val="00412FAE"/>
    <w:rsid w:val="004163F8"/>
    <w:rsid w:val="004847AE"/>
    <w:rsid w:val="004A7EBF"/>
    <w:rsid w:val="004F41B3"/>
    <w:rsid w:val="0050017B"/>
    <w:rsid w:val="0051218B"/>
    <w:rsid w:val="005130C6"/>
    <w:rsid w:val="00575627"/>
    <w:rsid w:val="00590A5F"/>
    <w:rsid w:val="005B0DA0"/>
    <w:rsid w:val="005E0762"/>
    <w:rsid w:val="00610704"/>
    <w:rsid w:val="006258B3"/>
    <w:rsid w:val="006320DD"/>
    <w:rsid w:val="00640E62"/>
    <w:rsid w:val="00652E21"/>
    <w:rsid w:val="006637FD"/>
    <w:rsid w:val="00670CA5"/>
    <w:rsid w:val="00674EB4"/>
    <w:rsid w:val="006A4641"/>
    <w:rsid w:val="006C4E3E"/>
    <w:rsid w:val="006C78EF"/>
    <w:rsid w:val="006D720C"/>
    <w:rsid w:val="007674B0"/>
    <w:rsid w:val="00783D4A"/>
    <w:rsid w:val="007F381B"/>
    <w:rsid w:val="007F394B"/>
    <w:rsid w:val="00812A9D"/>
    <w:rsid w:val="0081434B"/>
    <w:rsid w:val="00815742"/>
    <w:rsid w:val="00824D73"/>
    <w:rsid w:val="0084071A"/>
    <w:rsid w:val="008463E7"/>
    <w:rsid w:val="0085223E"/>
    <w:rsid w:val="00871B3C"/>
    <w:rsid w:val="008910D9"/>
    <w:rsid w:val="008A6F3E"/>
    <w:rsid w:val="008E6F67"/>
    <w:rsid w:val="008F309B"/>
    <w:rsid w:val="00917E90"/>
    <w:rsid w:val="0092000A"/>
    <w:rsid w:val="00920B01"/>
    <w:rsid w:val="00941437"/>
    <w:rsid w:val="009B1B17"/>
    <w:rsid w:val="009D1DF0"/>
    <w:rsid w:val="009D4350"/>
    <w:rsid w:val="00A27827"/>
    <w:rsid w:val="00A34278"/>
    <w:rsid w:val="00A45A6B"/>
    <w:rsid w:val="00A47722"/>
    <w:rsid w:val="00A86427"/>
    <w:rsid w:val="00AC1014"/>
    <w:rsid w:val="00AC43E9"/>
    <w:rsid w:val="00AD2E25"/>
    <w:rsid w:val="00AE0AE6"/>
    <w:rsid w:val="00AE2526"/>
    <w:rsid w:val="00AF1325"/>
    <w:rsid w:val="00AF7DAE"/>
    <w:rsid w:val="00B61FF8"/>
    <w:rsid w:val="00B6759F"/>
    <w:rsid w:val="00BA0C54"/>
    <w:rsid w:val="00BA23FA"/>
    <w:rsid w:val="00BA459D"/>
    <w:rsid w:val="00BC0650"/>
    <w:rsid w:val="00BC6CF3"/>
    <w:rsid w:val="00BD150F"/>
    <w:rsid w:val="00BD72D1"/>
    <w:rsid w:val="00C013E9"/>
    <w:rsid w:val="00C47131"/>
    <w:rsid w:val="00C6600F"/>
    <w:rsid w:val="00C74960"/>
    <w:rsid w:val="00C81967"/>
    <w:rsid w:val="00C824DC"/>
    <w:rsid w:val="00C855E2"/>
    <w:rsid w:val="00CB497A"/>
    <w:rsid w:val="00CC7A47"/>
    <w:rsid w:val="00CF6D73"/>
    <w:rsid w:val="00D174A4"/>
    <w:rsid w:val="00D67962"/>
    <w:rsid w:val="00D76F73"/>
    <w:rsid w:val="00D9395C"/>
    <w:rsid w:val="00D975EF"/>
    <w:rsid w:val="00DA61C9"/>
    <w:rsid w:val="00DA6AD5"/>
    <w:rsid w:val="00DA6B1E"/>
    <w:rsid w:val="00DC3B56"/>
    <w:rsid w:val="00E4007B"/>
    <w:rsid w:val="00E555FC"/>
    <w:rsid w:val="00E635C1"/>
    <w:rsid w:val="00E665DC"/>
    <w:rsid w:val="00E85AF0"/>
    <w:rsid w:val="00E926E0"/>
    <w:rsid w:val="00E926E6"/>
    <w:rsid w:val="00EC0629"/>
    <w:rsid w:val="00F5507D"/>
    <w:rsid w:val="00F6145B"/>
    <w:rsid w:val="00F64660"/>
    <w:rsid w:val="00F839D1"/>
    <w:rsid w:val="00F965C6"/>
    <w:rsid w:val="00F96D3D"/>
    <w:rsid w:val="00FB068B"/>
    <w:rsid w:val="00FD733D"/>
    <w:rsid w:val="00FE6D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D59E6"/>
  <w15:docId w15:val="{627B900B-C277-4576-BF4B-A5B0C6B1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94411">
      <w:bodyDiv w:val="1"/>
      <w:marLeft w:val="0"/>
      <w:marRight w:val="0"/>
      <w:marTop w:val="0"/>
      <w:marBottom w:val="0"/>
      <w:divBdr>
        <w:top w:val="none" w:sz="0" w:space="0" w:color="auto"/>
        <w:left w:val="none" w:sz="0" w:space="0" w:color="auto"/>
        <w:bottom w:val="none" w:sz="0" w:space="0" w:color="auto"/>
        <w:right w:val="none" w:sz="0" w:space="0" w:color="auto"/>
      </w:divBdr>
    </w:div>
    <w:div w:id="9860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276</Words>
  <Characters>1576</Characters>
  <Application>Microsoft Office Word</Application>
  <DocSecurity>0</DocSecurity>
  <Lines>13</Lines>
  <Paragraphs>3</Paragraphs>
  <ScaleCrop>false</ScaleCrop>
  <Company>Microsoft</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威 刘</cp:lastModifiedBy>
  <cp:revision>4</cp:revision>
  <cp:lastPrinted>2018-07-23T05:54:00Z</cp:lastPrinted>
  <dcterms:created xsi:type="dcterms:W3CDTF">2023-06-13T04:08:00Z</dcterms:created>
  <dcterms:modified xsi:type="dcterms:W3CDTF">2023-06-13T04:12:00Z</dcterms:modified>
</cp:coreProperties>
</file>