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32B4" w14:textId="1D4B57DD" w:rsidR="00E85AF0" w:rsidRPr="00473BCF" w:rsidRDefault="00E85AF0" w:rsidP="005C2B6F">
      <w:pPr>
        <w:pStyle w:val="ProductName"/>
        <w:tabs>
          <w:tab w:val="left" w:pos="93"/>
        </w:tabs>
        <w:spacing w:beforeLines="30" w:before="97" w:line="240" w:lineRule="auto"/>
        <w:jc w:val="center"/>
        <w:rPr>
          <w:rFonts w:ascii="Arial" w:eastAsiaTheme="majorEastAsia" w:hAnsi="Arial" w:cs="Arial"/>
          <w:b/>
          <w:sz w:val="30"/>
          <w:szCs w:val="30"/>
          <w:lang w:eastAsia="zh-TW"/>
        </w:rPr>
      </w:pPr>
      <w:r w:rsidRPr="004E40B8">
        <w:rPr>
          <w:rFonts w:ascii="Arial" w:eastAsiaTheme="majorEastAsia" w:hAnsi="Arial" w:cs="Arial"/>
          <w:b/>
          <w:sz w:val="30"/>
          <w:szCs w:val="30"/>
          <w:lang w:eastAsia="zh-CN"/>
        </w:rPr>
        <w:t xml:space="preserve">Coadd™ </w:t>
      </w:r>
      <w:r w:rsidR="00DA78B8">
        <w:rPr>
          <w:rFonts w:ascii="Arial" w:eastAsiaTheme="majorEastAsia" w:hAnsi="Arial" w:cs="Arial"/>
          <w:b/>
          <w:sz w:val="30"/>
          <w:szCs w:val="30"/>
          <w:lang w:eastAsia="zh-CN"/>
        </w:rPr>
        <w:t>R-3150</w:t>
      </w:r>
    </w:p>
    <w:p w14:paraId="6097FFB3" w14:textId="6E9B4129" w:rsidR="00E85AF0" w:rsidRPr="00C64E0F" w:rsidRDefault="000C0F82" w:rsidP="00ED3631">
      <w:pPr>
        <w:jc w:val="center"/>
        <w:rPr>
          <w:rFonts w:ascii="Arial" w:eastAsiaTheme="majorEastAsia" w:hAnsi="Arial" w:cs="Arial"/>
          <w:lang w:eastAsia="zh-CN"/>
        </w:rPr>
      </w:pPr>
      <w:r>
        <w:rPr>
          <w:rFonts w:ascii="Arial" w:eastAsiaTheme="majorEastAsia" w:cs="Arial" w:hint="eastAsia"/>
          <w:lang w:eastAsia="zh-CN"/>
        </w:rPr>
        <w:t>W</w:t>
      </w:r>
      <w:r w:rsidR="00473BCF">
        <w:rPr>
          <w:rFonts w:ascii="Arial" w:eastAsiaTheme="majorEastAsia" w:cs="Arial" w:hint="eastAsia"/>
          <w:lang w:eastAsia="zh-CN"/>
        </w:rPr>
        <w:t>e</w:t>
      </w:r>
      <w:r w:rsidR="00473BCF">
        <w:rPr>
          <w:rFonts w:ascii="Arial" w:eastAsiaTheme="majorEastAsia" w:cs="Arial"/>
          <w:lang w:eastAsia="zh-CN"/>
        </w:rPr>
        <w:t>tting &amp; Dispersing Agent</w:t>
      </w:r>
    </w:p>
    <w:p w14:paraId="42396DD6" w14:textId="77777777" w:rsidR="00ED3631" w:rsidRPr="00ED3631" w:rsidRDefault="00ED3631" w:rsidP="00ED3631">
      <w:pPr>
        <w:jc w:val="center"/>
        <w:rPr>
          <w:rFonts w:ascii="Arial" w:eastAsiaTheme="majorEastAsia" w:hAnsi="Arial" w:cs="Arial"/>
          <w:sz w:val="28"/>
          <w:szCs w:val="28"/>
          <w:lang w:eastAsia="zh-CN"/>
        </w:rPr>
      </w:pPr>
    </w:p>
    <w:p w14:paraId="30379597" w14:textId="77777777" w:rsidR="00E85AF0" w:rsidRPr="00045AA7" w:rsidRDefault="00045AA7" w:rsidP="00045AA7">
      <w:pPr>
        <w:rPr>
          <w:rFonts w:ascii="Arial" w:eastAsiaTheme="majorEastAsia" w:hAnsi="Arial" w:cs="Arial"/>
          <w:sz w:val="28"/>
          <w:szCs w:val="28"/>
          <w:lang w:eastAsia="zh-CN"/>
        </w:rPr>
      </w:pPr>
      <w:r>
        <w:rPr>
          <w:rFonts w:ascii="Arial" w:eastAsiaTheme="majorEastAsia" w:cs="Arial" w:hint="eastAsia"/>
          <w:b/>
          <w:bCs/>
          <w:sz w:val="28"/>
          <w:szCs w:val="28"/>
          <w:lang w:eastAsia="zh-CN"/>
        </w:rPr>
        <w:t>DESCRIPTION</w:t>
      </w:r>
    </w:p>
    <w:p w14:paraId="06520FFA" w14:textId="15C0AE2A" w:rsidR="000D4635" w:rsidRDefault="00E85AF0" w:rsidP="00EE2087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bookmarkStart w:id="0" w:name="_Hlk107213945"/>
      <w:r w:rsidRPr="00045AA7">
        <w:rPr>
          <w:rFonts w:ascii="Arial" w:eastAsiaTheme="majorEastAsia" w:hAnsi="Arial" w:cs="Arial"/>
          <w:b/>
          <w:sz w:val="21"/>
          <w:szCs w:val="21"/>
          <w:lang w:eastAsia="zh-CN"/>
        </w:rPr>
        <w:t xml:space="preserve">Coadd™ </w:t>
      </w:r>
      <w:bookmarkEnd w:id="0"/>
      <w:r w:rsidR="00473BCF">
        <w:rPr>
          <w:rFonts w:ascii="Arial" w:eastAsiaTheme="majorEastAsia" w:hAnsi="Arial" w:cs="Arial"/>
          <w:b/>
          <w:sz w:val="21"/>
          <w:szCs w:val="21"/>
          <w:lang w:eastAsia="zh-CN"/>
        </w:rPr>
        <w:t>R-3150</w:t>
      </w:r>
      <w:r w:rsidR="00045AA7">
        <w:rPr>
          <w:rFonts w:ascii="Arial" w:eastAsiaTheme="majorEastAsia" w:hAnsi="Arial" w:cs="Arial" w:hint="eastAsia"/>
          <w:sz w:val="21"/>
          <w:szCs w:val="21"/>
          <w:lang w:eastAsia="zh-CN"/>
        </w:rPr>
        <w:t xml:space="preserve"> is </w:t>
      </w:r>
      <w:r w:rsidR="000C0F82">
        <w:rPr>
          <w:rFonts w:ascii="Arial" w:eastAsiaTheme="majorEastAsia" w:hAnsi="Arial" w:cs="Arial"/>
          <w:sz w:val="21"/>
          <w:szCs w:val="21"/>
          <w:lang w:eastAsia="zh-CN"/>
        </w:rPr>
        <w:t xml:space="preserve">a </w:t>
      </w:r>
      <w:r w:rsidR="00473BCF">
        <w:rPr>
          <w:rFonts w:ascii="Arial" w:eastAsiaTheme="majorEastAsia" w:hAnsi="Arial" w:cs="Arial"/>
          <w:sz w:val="21"/>
          <w:szCs w:val="21"/>
          <w:lang w:eastAsia="zh-CN"/>
        </w:rPr>
        <w:t>solution of polycarboxylic acid with alkylammonium salt,</w:t>
      </w:r>
      <w:r w:rsidR="000A5E12">
        <w:rPr>
          <w:rFonts w:ascii="Arial" w:eastAsiaTheme="majorEastAsia" w:hAnsi="Arial" w:cs="Arial"/>
          <w:sz w:val="21"/>
          <w:szCs w:val="21"/>
          <w:lang w:eastAsia="zh-CN"/>
        </w:rPr>
        <w:t xml:space="preserve"> suitable in solvent-borne</w:t>
      </w:r>
      <w:r w:rsidR="00991C24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7D12FB">
        <w:rPr>
          <w:rFonts w:ascii="Arial" w:eastAsiaTheme="majorEastAsia" w:hAnsi="Arial" w:cs="Arial"/>
          <w:sz w:val="21"/>
          <w:szCs w:val="21"/>
          <w:lang w:eastAsia="zh-CN"/>
        </w:rPr>
        <w:t xml:space="preserve">and solvent free </w:t>
      </w:r>
      <w:r w:rsidR="00991C24">
        <w:rPr>
          <w:rFonts w:ascii="Arial" w:eastAsiaTheme="majorEastAsia" w:hAnsi="Arial" w:cs="Arial"/>
          <w:sz w:val="21"/>
          <w:szCs w:val="21"/>
          <w:lang w:eastAsia="zh-CN"/>
        </w:rPr>
        <w:t>protect</w:t>
      </w:r>
      <w:r w:rsidR="00803B41">
        <w:rPr>
          <w:rFonts w:ascii="Arial" w:eastAsiaTheme="majorEastAsia" w:hAnsi="Arial" w:cs="Arial" w:hint="eastAsia"/>
          <w:sz w:val="21"/>
          <w:szCs w:val="21"/>
          <w:lang w:eastAsia="zh-CN"/>
        </w:rPr>
        <w:t>ive</w:t>
      </w:r>
      <w:r w:rsidR="00991C24">
        <w:rPr>
          <w:rFonts w:ascii="Arial" w:eastAsiaTheme="majorEastAsia" w:hAnsi="Arial" w:cs="Arial"/>
          <w:sz w:val="21"/>
          <w:szCs w:val="21"/>
          <w:lang w:eastAsia="zh-CN"/>
        </w:rPr>
        <w:t xml:space="preserve"> coating</w:t>
      </w:r>
      <w:r w:rsidR="000A5E12">
        <w:rPr>
          <w:rFonts w:ascii="Arial" w:eastAsiaTheme="majorEastAsia" w:hAnsi="Arial" w:cs="Arial"/>
          <w:sz w:val="21"/>
          <w:szCs w:val="21"/>
          <w:lang w:eastAsia="zh-CN"/>
        </w:rPr>
        <w:t xml:space="preserve"> systems, in particular for low to medium polar thick coatings and primer coatings. </w:t>
      </w:r>
      <w:r w:rsidR="00E13C28">
        <w:rPr>
          <w:rFonts w:ascii="Arial" w:eastAsiaTheme="majorEastAsia" w:hAnsi="Arial" w:cs="Arial"/>
          <w:sz w:val="21"/>
          <w:szCs w:val="21"/>
          <w:lang w:eastAsia="zh-CN"/>
        </w:rPr>
        <w:t>The product can control the flocculation of pigments in the system, and improve the anti-sagging and anti-settling performance. It also improves the floating and flooding of pigments.</w:t>
      </w:r>
    </w:p>
    <w:p w14:paraId="3EFF5A7F" w14:textId="05BEDDDD" w:rsidR="00EE2087" w:rsidRPr="004E40B8" w:rsidRDefault="00BB13C2" w:rsidP="00EE2087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</w:p>
    <w:p w14:paraId="5651588A" w14:textId="77777777" w:rsidR="00E85AF0" w:rsidRPr="00045AA7" w:rsidRDefault="003C41BE" w:rsidP="00045AA7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ajorEastAsia" w:cs="Arial" w:hint="eastAsia"/>
          <w:b/>
          <w:bCs/>
          <w:sz w:val="28"/>
          <w:szCs w:val="28"/>
          <w:lang w:eastAsia="zh-CN"/>
        </w:rPr>
        <w:t>PHYSICAL PROPERTIES</w:t>
      </w:r>
    </w:p>
    <w:tbl>
      <w:tblPr>
        <w:tblStyle w:val="a3"/>
        <w:tblW w:w="8217" w:type="dxa"/>
        <w:jc w:val="center"/>
        <w:tblInd w:w="0" w:type="dxa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111"/>
      </w:tblGrid>
      <w:tr w:rsidR="000542EA" w:rsidRPr="00045AA7" w14:paraId="3DC76DDC" w14:textId="77777777" w:rsidTr="004E40B8">
        <w:trPr>
          <w:jc w:val="center"/>
        </w:trPr>
        <w:tc>
          <w:tcPr>
            <w:tcW w:w="4106" w:type="dxa"/>
          </w:tcPr>
          <w:p w14:paraId="09BE781C" w14:textId="383396AA" w:rsidR="000542EA" w:rsidRPr="00045AA7" w:rsidRDefault="009801A1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Form</w:t>
            </w:r>
          </w:p>
        </w:tc>
        <w:tc>
          <w:tcPr>
            <w:tcW w:w="4111" w:type="dxa"/>
          </w:tcPr>
          <w:p w14:paraId="6B1272B5" w14:textId="286B6D0B" w:rsidR="000542EA" w:rsidRPr="00045AA7" w:rsidRDefault="005A0D71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cs="Arial"/>
                <w:sz w:val="21"/>
                <w:szCs w:val="21"/>
                <w:lang w:eastAsia="zh-CN"/>
              </w:rPr>
              <w:t>L</w:t>
            </w:r>
            <w:r>
              <w:rPr>
                <w:rFonts w:ascii="Arial" w:eastAsiaTheme="majorEastAsia" w:cs="Arial" w:hint="eastAsia"/>
                <w:sz w:val="21"/>
                <w:szCs w:val="21"/>
                <w:lang w:eastAsia="zh-CN"/>
              </w:rPr>
              <w:t>ight</w:t>
            </w:r>
            <w:r>
              <w:rPr>
                <w:rFonts w:ascii="Arial" w:eastAsiaTheme="majorEastAsia" w:cs="Arial"/>
                <w:sz w:val="21"/>
                <w:szCs w:val="21"/>
                <w:lang w:eastAsia="zh-CN"/>
              </w:rPr>
              <w:t xml:space="preserve"> </w:t>
            </w:r>
            <w:r w:rsidR="00473BCF">
              <w:rPr>
                <w:rFonts w:ascii="Arial" w:eastAsiaTheme="majorEastAsia" w:cs="Arial"/>
                <w:sz w:val="21"/>
                <w:szCs w:val="21"/>
                <w:lang w:eastAsia="zh-CN"/>
              </w:rPr>
              <w:t>brown</w:t>
            </w:r>
            <w:r>
              <w:rPr>
                <w:rFonts w:ascii="Arial" w:eastAsiaTheme="majorEastAsia" w:cs="Arial"/>
                <w:sz w:val="21"/>
                <w:szCs w:val="21"/>
                <w:lang w:eastAsia="zh-CN"/>
              </w:rPr>
              <w:t xml:space="preserve"> </w:t>
            </w:r>
            <w:r w:rsidR="008B68B5">
              <w:rPr>
                <w:rFonts w:ascii="Arial" w:eastAsiaTheme="majorEastAsia" w:cs="Arial"/>
                <w:sz w:val="21"/>
                <w:szCs w:val="21"/>
                <w:lang w:eastAsia="zh-CN"/>
              </w:rPr>
              <w:t>liquid</w:t>
            </w:r>
          </w:p>
        </w:tc>
      </w:tr>
      <w:tr w:rsidR="00C40813" w:rsidRPr="00045AA7" w14:paraId="4AFFD959" w14:textId="77777777" w:rsidTr="004E40B8">
        <w:trPr>
          <w:jc w:val="center"/>
        </w:trPr>
        <w:tc>
          <w:tcPr>
            <w:tcW w:w="4106" w:type="dxa"/>
          </w:tcPr>
          <w:p w14:paraId="26CE5E2D" w14:textId="77777777" w:rsidR="00C40813" w:rsidRPr="00045AA7" w:rsidRDefault="008B68B5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Density (g/ml)</w:t>
            </w:r>
          </w:p>
        </w:tc>
        <w:tc>
          <w:tcPr>
            <w:tcW w:w="4111" w:type="dxa"/>
          </w:tcPr>
          <w:p w14:paraId="55FFA23D" w14:textId="771E62DE" w:rsidR="00C40813" w:rsidRPr="00282962" w:rsidRDefault="00473BCF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  <w:t>0.8</w:t>
            </w:r>
            <w:r w:rsidR="005133C7">
              <w:rPr>
                <w:rFonts w:ascii="Arial" w:eastAsiaTheme="majorEastAsia" w:hAnsi="Arial" w:cs="Arial" w:hint="eastAsia"/>
                <w:sz w:val="21"/>
                <w:szCs w:val="21"/>
                <w:lang w:eastAsia="zh-CN"/>
              </w:rPr>
              <w:t>7</w:t>
            </w:r>
          </w:p>
        </w:tc>
      </w:tr>
      <w:tr w:rsidR="00C40813" w:rsidRPr="00045AA7" w14:paraId="3DC782E6" w14:textId="77777777" w:rsidTr="004E40B8">
        <w:trPr>
          <w:jc w:val="center"/>
        </w:trPr>
        <w:tc>
          <w:tcPr>
            <w:tcW w:w="4106" w:type="dxa"/>
          </w:tcPr>
          <w:p w14:paraId="426ACB57" w14:textId="456522F3" w:rsidR="00C40813" w:rsidRPr="00045AA7" w:rsidRDefault="0053681E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Active</w:t>
            </w:r>
            <w:r w:rsidR="00EC096A"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 xml:space="preserve"> content </w:t>
            </w:r>
            <w:r w:rsidR="00045AA7"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4111" w:type="dxa"/>
          </w:tcPr>
          <w:p w14:paraId="1607A166" w14:textId="6B8C34DC" w:rsidR="00C40813" w:rsidRPr="00282962" w:rsidRDefault="00473BCF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  <w:t>50</w:t>
            </w:r>
          </w:p>
        </w:tc>
      </w:tr>
      <w:tr w:rsidR="003B0498" w:rsidRPr="00045AA7" w14:paraId="02BC0412" w14:textId="77777777" w:rsidTr="004E40B8">
        <w:trPr>
          <w:jc w:val="center"/>
        </w:trPr>
        <w:tc>
          <w:tcPr>
            <w:tcW w:w="4106" w:type="dxa"/>
          </w:tcPr>
          <w:p w14:paraId="7D7BD218" w14:textId="70C69644" w:rsidR="003B0498" w:rsidRDefault="005133C7" w:rsidP="00045AA7">
            <w:pPr>
              <w:pStyle w:val="ChartData"/>
              <w:spacing w:line="240" w:lineRule="auto"/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Flash</w:t>
            </w: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point</w:t>
            </w: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 xml:space="preserve"> </w:t>
            </w:r>
            <w:r w:rsidR="003B0498"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(</w:t>
            </w:r>
            <w:r w:rsidR="003B0498"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℃</w:t>
            </w:r>
            <w:r w:rsidR="003B0498"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111" w:type="dxa"/>
          </w:tcPr>
          <w:p w14:paraId="1237D390" w14:textId="5AB09C5F" w:rsidR="003B0498" w:rsidRDefault="005133C7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 w:hint="eastAsia"/>
                <w:sz w:val="21"/>
                <w:szCs w:val="21"/>
                <w:lang w:eastAsia="zh-CN"/>
              </w:rPr>
              <w:t>66</w:t>
            </w:r>
          </w:p>
        </w:tc>
      </w:tr>
    </w:tbl>
    <w:p w14:paraId="490614FD" w14:textId="7A0848BC" w:rsidR="009D4350" w:rsidRDefault="00456A87" w:rsidP="004E40B8">
      <w:pPr>
        <w:ind w:firstLine="420"/>
        <w:rPr>
          <w:rFonts w:ascii="Arial" w:eastAsia="楷体" w:hAnsi="Arial" w:cs="Arial"/>
          <w:sz w:val="18"/>
          <w:szCs w:val="18"/>
          <w:lang w:eastAsia="zh-CN"/>
        </w:rPr>
      </w:pPr>
      <w:r w:rsidRPr="00045AA7">
        <w:rPr>
          <w:rFonts w:ascii="Arial" w:eastAsia="楷体" w:hAnsi="Arial" w:cs="Arial"/>
          <w:sz w:val="18"/>
          <w:szCs w:val="18"/>
          <w:lang w:eastAsia="zh-CN"/>
        </w:rPr>
        <w:t>Note</w:t>
      </w:r>
      <w:r w:rsidRPr="00045AA7">
        <w:rPr>
          <w:rFonts w:ascii="Arial" w:eastAsia="楷体" w:hAnsi="Arial" w:cs="Arial"/>
          <w:sz w:val="18"/>
          <w:szCs w:val="18"/>
          <w:lang w:eastAsia="zh-CN"/>
        </w:rPr>
        <w:t>：</w:t>
      </w:r>
      <w:r w:rsidRPr="00045AA7">
        <w:rPr>
          <w:rFonts w:ascii="Arial" w:eastAsia="楷体" w:hAnsi="Arial" w:cs="Arial"/>
          <w:sz w:val="18"/>
          <w:szCs w:val="18"/>
          <w:lang w:eastAsia="zh-CN"/>
        </w:rPr>
        <w:t>These properties are only typical, and do not represent product specifications</w:t>
      </w:r>
    </w:p>
    <w:p w14:paraId="2ADB4D4F" w14:textId="77777777" w:rsidR="004E40B8" w:rsidRPr="004E40B8" w:rsidRDefault="004E40B8" w:rsidP="004E40B8">
      <w:pPr>
        <w:ind w:firstLine="420"/>
        <w:rPr>
          <w:rFonts w:ascii="Arial" w:eastAsia="楷体" w:hAnsi="Arial" w:cs="Arial"/>
          <w:sz w:val="18"/>
          <w:szCs w:val="18"/>
          <w:lang w:eastAsia="zh-CN"/>
        </w:rPr>
      </w:pPr>
    </w:p>
    <w:p w14:paraId="0960049B" w14:textId="77777777" w:rsidR="003C41BE" w:rsidRPr="00AD2C17" w:rsidRDefault="003C41BE" w:rsidP="003C41BE">
      <w:pPr>
        <w:spacing w:line="312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r>
        <w:rPr>
          <w:rFonts w:ascii="Arial" w:eastAsia="宋体" w:hAnsi="宋体" w:cs="Arial" w:hint="eastAsia"/>
          <w:b/>
          <w:bCs/>
          <w:sz w:val="28"/>
          <w:szCs w:val="28"/>
          <w:lang w:eastAsia="zh-CN"/>
        </w:rPr>
        <w:t>APPLICATION CHARACTERISTIC AND ADVANTAGES</w:t>
      </w:r>
    </w:p>
    <w:p w14:paraId="33B64736" w14:textId="53161E42" w:rsidR="00AD32D3" w:rsidRDefault="00F61270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 w:rsidRPr="00045AA7">
        <w:rPr>
          <w:rFonts w:ascii="Arial" w:eastAsiaTheme="majorEastAsia" w:hAnsi="Arial" w:cs="Arial"/>
          <w:b/>
          <w:sz w:val="21"/>
          <w:szCs w:val="21"/>
          <w:lang w:eastAsia="zh-CN"/>
        </w:rPr>
        <w:t xml:space="preserve">Coadd™ </w:t>
      </w:r>
      <w:r w:rsidR="00473BCF">
        <w:rPr>
          <w:rFonts w:ascii="Arial" w:eastAsiaTheme="majorEastAsia" w:hAnsi="Arial" w:cs="Arial"/>
          <w:b/>
          <w:sz w:val="21"/>
          <w:szCs w:val="21"/>
          <w:lang w:eastAsia="zh-CN"/>
        </w:rPr>
        <w:t>R-3150</w:t>
      </w:r>
      <w:r w:rsidR="003C41BE">
        <w:rPr>
          <w:rFonts w:ascii="Arial" w:eastAsiaTheme="majorEastAsia" w:hAnsi="Arial" w:cs="Arial" w:hint="eastAsia"/>
          <w:b/>
          <w:sz w:val="21"/>
          <w:szCs w:val="21"/>
          <w:lang w:eastAsia="zh-CN"/>
        </w:rPr>
        <w:t xml:space="preserve"> </w:t>
      </w:r>
      <w:r w:rsidR="002A454B" w:rsidRPr="002A454B">
        <w:rPr>
          <w:rFonts w:ascii="Arial" w:eastAsiaTheme="majorEastAsia" w:hAnsi="Arial" w:cs="Arial"/>
          <w:bCs/>
          <w:sz w:val="21"/>
          <w:szCs w:val="21"/>
          <w:lang w:eastAsia="zh-CN"/>
        </w:rPr>
        <w:t>is recommended</w:t>
      </w:r>
      <w:r w:rsidR="002A454B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for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  <w:r w:rsidR="007D12FB">
        <w:rPr>
          <w:rFonts w:ascii="Arial" w:eastAsiaTheme="majorEastAsia" w:hAnsi="Arial" w:cs="Arial"/>
          <w:bCs/>
          <w:sz w:val="21"/>
          <w:szCs w:val="21"/>
          <w:lang w:eastAsia="zh-CN"/>
        </w:rPr>
        <w:t>solvent-borne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and solvent</w:t>
      </w:r>
      <w:r w:rsidR="007D12FB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free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coating system with low to medium polarity. It significantly increases the system thixotropy. When used as primer coating, it can also improve the anti-corrosion performance. </w:t>
      </w:r>
      <w:r w:rsidR="00212864">
        <w:rPr>
          <w:rFonts w:ascii="Arial" w:eastAsiaTheme="majorEastAsia" w:hAnsi="Arial" w:cs="Arial"/>
          <w:bCs/>
          <w:sz w:val="21"/>
          <w:szCs w:val="21"/>
          <w:lang w:eastAsia="zh-CN"/>
        </w:rPr>
        <w:t>Coadd R-3150 m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>ay increase viscosity in epoxy resin system</w:t>
      </w:r>
      <w:r w:rsidR="00212864">
        <w:rPr>
          <w:rFonts w:ascii="Arial" w:eastAsiaTheme="majorEastAsia" w:hAnsi="Arial" w:cs="Arial"/>
          <w:bCs/>
          <w:sz w:val="21"/>
          <w:szCs w:val="21"/>
          <w:lang w:eastAsia="zh-CN"/>
        </w:rPr>
        <w:t>s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. </w:t>
      </w:r>
      <w:r w:rsidR="00212864">
        <w:rPr>
          <w:rFonts w:ascii="Arial" w:eastAsiaTheme="majorEastAsia" w:hAnsi="Arial" w:cs="Arial"/>
          <w:bCs/>
          <w:sz w:val="21"/>
          <w:szCs w:val="21"/>
          <w:lang w:eastAsia="zh-CN"/>
        </w:rPr>
        <w:t>Please check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Coadd R-3160, which is suitable for non-polar systems</w:t>
      </w:r>
      <w:r w:rsidR="00212864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and better stability with epoxy resin compare to Coadd R-3150</w:t>
      </w:r>
      <w:r w:rsidR="00495F73">
        <w:rPr>
          <w:rFonts w:ascii="Arial" w:eastAsiaTheme="majorEastAsia" w:hAnsi="Arial" w:cs="Arial"/>
          <w:bCs/>
          <w:sz w:val="21"/>
          <w:szCs w:val="21"/>
          <w:lang w:eastAsia="zh-CN"/>
        </w:rPr>
        <w:t>.</w:t>
      </w:r>
    </w:p>
    <w:p w14:paraId="62E6B904" w14:textId="77777777" w:rsidR="00495F73" w:rsidRDefault="00F25148" w:rsidP="00F750DC">
      <w:pPr>
        <w:spacing w:line="312" w:lineRule="auto"/>
        <w:jc w:val="both"/>
        <w:rPr>
          <w:rFonts w:ascii="Arial" w:eastAsiaTheme="majorEastAsia" w:hAnsi="Arial" w:cs="Arial"/>
          <w:bCs/>
          <w:sz w:val="21"/>
          <w:szCs w:val="21"/>
          <w:lang w:eastAsia="zh-CN"/>
        </w:rPr>
      </w:pPr>
      <w:r>
        <w:rPr>
          <w:rFonts w:ascii="Arial" w:eastAsiaTheme="majorEastAsia" w:hAnsi="Arial" w:cs="Arial" w:hint="eastAsia"/>
          <w:bCs/>
          <w:sz w:val="21"/>
          <w:szCs w:val="21"/>
          <w:lang w:eastAsia="zh-CN"/>
        </w:rPr>
        <w:t>S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uggested dosage base on the 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>total of solid pigments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and fillers 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>formulation: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</w:p>
    <w:p w14:paraId="38D17B61" w14:textId="62F40C0B" w:rsidR="00495F73" w:rsidRDefault="00495F73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bCs/>
          <w:sz w:val="21"/>
          <w:szCs w:val="21"/>
          <w:lang w:eastAsia="zh-CN"/>
        </w:rPr>
        <w:t>Titanium dioxide</w:t>
      </w:r>
      <w:r w:rsidR="00212864">
        <w:rPr>
          <w:rFonts w:ascii="Arial" w:eastAsiaTheme="majorEastAsia" w:hAnsi="Arial" w:cs="Arial"/>
          <w:bCs/>
          <w:sz w:val="21"/>
          <w:szCs w:val="21"/>
          <w:lang w:eastAsia="zh-CN"/>
        </w:rPr>
        <w:t>: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  <w:r w:rsidR="00F25148">
        <w:rPr>
          <w:rFonts w:ascii="Arial" w:eastAsiaTheme="majorEastAsia" w:hAnsi="Arial" w:cs="Arial" w:hint="eastAsia"/>
          <w:bCs/>
          <w:sz w:val="21"/>
          <w:szCs w:val="21"/>
          <w:lang w:eastAsia="zh-CN"/>
        </w:rPr>
        <w:t>0</w:t>
      </w:r>
      <w:r w:rsidR="00F25148">
        <w:rPr>
          <w:rFonts w:ascii="Arial" w:eastAsiaTheme="majorEastAsia" w:hAnsi="Arial" w:cs="Arial"/>
          <w:bCs/>
          <w:sz w:val="21"/>
          <w:szCs w:val="21"/>
          <w:lang w:eastAsia="zh-CN"/>
        </w:rPr>
        <w:t>.</w:t>
      </w:r>
      <w:r>
        <w:rPr>
          <w:rFonts w:ascii="Arial" w:eastAsiaTheme="majorEastAsia" w:hAnsi="Arial" w:cs="Arial"/>
          <w:sz w:val="21"/>
          <w:szCs w:val="21"/>
          <w:lang w:eastAsia="zh-CN"/>
        </w:rPr>
        <w:t>5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803B41">
        <w:rPr>
          <w:rFonts w:ascii="Arial" w:eastAsiaTheme="majorEastAsia" w:hAnsi="Arial" w:cs="Arial"/>
          <w:sz w:val="21"/>
          <w:szCs w:val="21"/>
          <w:lang w:eastAsia="zh-CN"/>
        </w:rPr>
        <w:t>-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>
        <w:rPr>
          <w:rFonts w:ascii="Arial" w:eastAsiaTheme="majorEastAsia" w:hAnsi="Arial" w:cs="Arial"/>
          <w:sz w:val="21"/>
          <w:szCs w:val="21"/>
          <w:lang w:eastAsia="zh-CN"/>
        </w:rPr>
        <w:t>1</w:t>
      </w:r>
      <w:r w:rsidR="00212864">
        <w:rPr>
          <w:rFonts w:ascii="Arial" w:eastAsiaTheme="majorEastAsia" w:hAnsi="Arial" w:cs="Arial"/>
          <w:sz w:val="21"/>
          <w:szCs w:val="21"/>
          <w:lang w:eastAsia="zh-CN"/>
        </w:rPr>
        <w:t>.5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>%</w:t>
      </w:r>
    </w:p>
    <w:p w14:paraId="0CCD2DA6" w14:textId="1C0A6C4F" w:rsidR="00495F73" w:rsidRDefault="00495F73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>Inorganic pigments</w:t>
      </w:r>
      <w:r w:rsidR="00212864">
        <w:rPr>
          <w:rFonts w:ascii="Arial" w:eastAsiaTheme="majorEastAsia" w:hAnsi="Arial" w:cs="Arial"/>
          <w:sz w:val="21"/>
          <w:szCs w:val="21"/>
          <w:lang w:eastAsia="zh-CN"/>
        </w:rPr>
        <w:t>:</w:t>
      </w:r>
      <w:r>
        <w:rPr>
          <w:rFonts w:ascii="Arial" w:eastAsiaTheme="majorEastAsia" w:hAnsi="Arial" w:cs="Arial"/>
          <w:sz w:val="21"/>
          <w:szCs w:val="21"/>
          <w:lang w:eastAsia="zh-CN"/>
        </w:rPr>
        <w:t xml:space="preserve"> 1 </w:t>
      </w:r>
      <w:r w:rsidR="00803B41">
        <w:rPr>
          <w:rFonts w:ascii="Arial" w:eastAsiaTheme="majorEastAsia" w:hAnsi="Arial" w:cs="Arial"/>
          <w:sz w:val="21"/>
          <w:szCs w:val="21"/>
          <w:lang w:eastAsia="zh-CN"/>
        </w:rPr>
        <w:t>-</w:t>
      </w:r>
      <w:r>
        <w:rPr>
          <w:rFonts w:ascii="Arial" w:eastAsiaTheme="majorEastAsia" w:hAnsi="Arial" w:cs="Arial"/>
          <w:sz w:val="21"/>
          <w:szCs w:val="21"/>
          <w:lang w:eastAsia="zh-CN"/>
        </w:rPr>
        <w:t xml:space="preserve"> 2%</w:t>
      </w:r>
    </w:p>
    <w:p w14:paraId="4495FF62" w14:textId="6BC687D8" w:rsidR="00212864" w:rsidRDefault="00212864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 w:hint="eastAsia"/>
          <w:sz w:val="21"/>
          <w:szCs w:val="21"/>
          <w:lang w:eastAsia="zh-CN"/>
        </w:rPr>
        <w:t>B</w:t>
      </w:r>
      <w:r>
        <w:rPr>
          <w:rFonts w:ascii="Arial" w:eastAsiaTheme="majorEastAsia" w:hAnsi="Arial" w:cs="Arial"/>
          <w:sz w:val="21"/>
          <w:szCs w:val="21"/>
          <w:lang w:eastAsia="zh-CN"/>
        </w:rPr>
        <w:t>entonites: 30</w:t>
      </w:r>
      <w:r w:rsidR="00803B41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>
        <w:rPr>
          <w:rFonts w:ascii="Arial" w:eastAsiaTheme="majorEastAsia" w:hAnsi="Arial" w:cs="Arial"/>
          <w:sz w:val="21"/>
          <w:szCs w:val="21"/>
          <w:lang w:eastAsia="zh-CN"/>
        </w:rPr>
        <w:t>-</w:t>
      </w:r>
      <w:r w:rsidR="00803B41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>
        <w:rPr>
          <w:rFonts w:ascii="Arial" w:eastAsiaTheme="majorEastAsia" w:hAnsi="Arial" w:cs="Arial"/>
          <w:sz w:val="21"/>
          <w:szCs w:val="21"/>
          <w:lang w:eastAsia="zh-CN"/>
        </w:rPr>
        <w:t>50%</w:t>
      </w:r>
    </w:p>
    <w:p w14:paraId="13317990" w14:textId="58E964CF" w:rsidR="00F25148" w:rsidRPr="004B7D22" w:rsidRDefault="004B7D22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>Optimal levels are determined through laboratory tests.</w:t>
      </w:r>
    </w:p>
    <w:p w14:paraId="10A2B164" w14:textId="77777777" w:rsidR="00456A87" w:rsidRPr="00584A24" w:rsidRDefault="00456A87" w:rsidP="00456A87">
      <w:pPr>
        <w:spacing w:line="312" w:lineRule="auto"/>
        <w:rPr>
          <w:rFonts w:ascii="Arial" w:eastAsia="宋体" w:hAnsi="Arial" w:cs="Arial"/>
          <w:b/>
          <w:sz w:val="28"/>
          <w:lang w:eastAsia="zh-CN"/>
        </w:rPr>
      </w:pPr>
      <w:r w:rsidRPr="00584A24">
        <w:rPr>
          <w:rFonts w:ascii="Arial" w:eastAsia="宋体" w:hAnsi="Arial" w:cs="Arial"/>
          <w:b/>
          <w:sz w:val="28"/>
          <w:lang w:eastAsia="zh-CN"/>
        </w:rPr>
        <w:t>SAFETY NOTICE</w:t>
      </w:r>
    </w:p>
    <w:p w14:paraId="335F57FA" w14:textId="74E54D0A" w:rsidR="004E40B8" w:rsidRPr="004E40B8" w:rsidRDefault="00456A87" w:rsidP="004E40B8">
      <w:pPr>
        <w:spacing w:line="312" w:lineRule="auto"/>
        <w:rPr>
          <w:rFonts w:ascii="Arial" w:eastAsiaTheme="minorEastAsia" w:hAnsi="Arial" w:cs="Arial"/>
          <w:sz w:val="21"/>
          <w:szCs w:val="22"/>
          <w:lang w:eastAsia="zh-CN"/>
        </w:rPr>
      </w:pPr>
      <w:r w:rsidRPr="001E2A07">
        <w:rPr>
          <w:rFonts w:ascii="Arial" w:eastAsiaTheme="minorEastAsia" w:hAnsi="Arial" w:cs="Arial"/>
          <w:sz w:val="21"/>
          <w:szCs w:val="22"/>
          <w:lang w:eastAsia="zh-CN"/>
        </w:rPr>
        <w:t>Before using the products, please refer to SDS for detailed safety data, handling and storage procedures recommended.</w:t>
      </w:r>
    </w:p>
    <w:p w14:paraId="207DF9D7" w14:textId="77777777" w:rsidR="00456A87" w:rsidRPr="00584A24" w:rsidRDefault="00456A87" w:rsidP="00456A87">
      <w:pPr>
        <w:spacing w:line="312" w:lineRule="auto"/>
        <w:rPr>
          <w:rFonts w:ascii="Arial" w:eastAsia="宋体" w:hAnsi="Arial" w:cs="Arial"/>
          <w:b/>
          <w:sz w:val="28"/>
          <w:lang w:eastAsia="zh-CN"/>
        </w:rPr>
      </w:pPr>
      <w:r w:rsidRPr="00584A24">
        <w:rPr>
          <w:rFonts w:ascii="Arial" w:eastAsia="宋体" w:hAnsi="Arial" w:cs="Arial"/>
          <w:b/>
          <w:sz w:val="28"/>
          <w:lang w:eastAsia="zh-CN"/>
        </w:rPr>
        <w:t>DISCLAIMER</w:t>
      </w:r>
    </w:p>
    <w:p w14:paraId="7363FFA6" w14:textId="573BDBC6" w:rsidR="00456A87" w:rsidRPr="004E40B8" w:rsidRDefault="00456A87" w:rsidP="004E40B8">
      <w:pPr>
        <w:spacing w:line="312" w:lineRule="auto"/>
        <w:rPr>
          <w:rFonts w:ascii="Arial" w:eastAsia="宋体" w:hAnsi="Arial" w:cs="Arial"/>
          <w:b/>
          <w:bCs/>
          <w:szCs w:val="28"/>
          <w:lang w:eastAsia="zh-CN"/>
        </w:rPr>
      </w:pPr>
      <w:r w:rsidRPr="001E2A07">
        <w:rPr>
          <w:rFonts w:ascii="Arial" w:eastAsia="宋体" w:hAnsi="Arial" w:cs="Arial"/>
          <w:sz w:val="21"/>
          <w:szCs w:val="22"/>
          <w:lang w:eastAsia="zh-CN"/>
        </w:rPr>
        <w:t xml:space="preserve">It is common proposal for product usage and demand above information based on our professional knowledge. Due to environmental uncertainty and out of our control from </w:t>
      </w:r>
      <w:r w:rsidRPr="001E2A07">
        <w:rPr>
          <w:rFonts w:ascii="Arial" w:eastAsia="宋体" w:hAnsi="Arial" w:cs="Arial"/>
          <w:sz w:val="21"/>
          <w:szCs w:val="22"/>
          <w:lang w:eastAsia="zh-CN"/>
        </w:rPr>
        <w:lastRenderedPageBreak/>
        <w:t>practical process, please test and make evaluation ahead of use to ensure efficient and safe. For your reference, the above information is only for commonly know</w:t>
      </w:r>
      <w:r w:rsidR="007C1AC3">
        <w:rPr>
          <w:rFonts w:ascii="Arial" w:eastAsia="宋体" w:hAnsi="Arial" w:cs="Arial"/>
          <w:sz w:val="21"/>
          <w:szCs w:val="22"/>
          <w:lang w:eastAsia="zh-CN"/>
        </w:rPr>
        <w:t>n</w:t>
      </w:r>
      <w:r w:rsidRPr="001E2A07">
        <w:rPr>
          <w:rFonts w:ascii="Arial" w:eastAsia="宋体" w:hAnsi="Arial" w:cs="Arial"/>
          <w:sz w:val="21"/>
          <w:szCs w:val="22"/>
          <w:lang w:eastAsia="zh-CN"/>
        </w:rPr>
        <w:t xml:space="preserve"> and use the product. It is guaranteed to meet quality and product specification.</w:t>
      </w:r>
    </w:p>
    <w:p w14:paraId="40E0F254" w14:textId="17EF2264" w:rsidR="00E555FC" w:rsidRPr="004E40B8" w:rsidRDefault="00456A87" w:rsidP="004E40B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584A24">
        <w:rPr>
          <w:rFonts w:ascii="Arial" w:eastAsia="宋体" w:hAnsi="Arial" w:cs="Arial"/>
          <w:b/>
          <w:color w:val="004646"/>
          <w:spacing w:val="-1"/>
          <w:sz w:val="21"/>
          <w:szCs w:val="21"/>
          <w:lang w:eastAsia="zh-CN"/>
        </w:rPr>
        <w:t>**</w:t>
      </w:r>
      <w:r w:rsidRPr="00584A24">
        <w:rPr>
          <w:rFonts w:ascii="Arial" w:eastAsia="宋体" w:hAnsi="Arial" w:cs="Arial"/>
          <w:b/>
          <w:color w:val="004646"/>
          <w:spacing w:val="-5"/>
          <w:sz w:val="21"/>
          <w:szCs w:val="21"/>
          <w:lang w:eastAsia="zh-CN"/>
        </w:rPr>
        <w:t>Please refer to SDS for more informatio</w:t>
      </w:r>
      <w:r>
        <w:rPr>
          <w:rFonts w:ascii="Arial" w:eastAsia="宋体" w:hAnsi="Arial" w:cs="Arial" w:hint="eastAsia"/>
          <w:b/>
          <w:color w:val="004646"/>
          <w:spacing w:val="-5"/>
          <w:sz w:val="21"/>
          <w:szCs w:val="21"/>
          <w:lang w:eastAsia="zh-CN"/>
        </w:rPr>
        <w:t>n</w:t>
      </w:r>
    </w:p>
    <w:sectPr w:rsidR="00E555FC" w:rsidRPr="004E40B8" w:rsidSect="00CB3B7B">
      <w:headerReference w:type="default" r:id="rId7"/>
      <w:footerReference w:type="default" r:id="rId8"/>
      <w:pgSz w:w="11906" w:h="16838"/>
      <w:pgMar w:top="1440" w:right="1800" w:bottom="1440" w:left="1800" w:header="567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CF70" w14:textId="77777777" w:rsidR="005571D4" w:rsidRDefault="005571D4" w:rsidP="00D67962">
      <w:r>
        <w:separator/>
      </w:r>
    </w:p>
  </w:endnote>
  <w:endnote w:type="continuationSeparator" w:id="0">
    <w:p w14:paraId="38E65A0F" w14:textId="77777777" w:rsidR="005571D4" w:rsidRDefault="005571D4" w:rsidP="00D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9839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92B1CC2" w14:textId="77777777" w:rsidR="00456A87" w:rsidRPr="00D714A8" w:rsidRDefault="0084354B" w:rsidP="00456A87">
            <w:pPr>
              <w:pStyle w:val="a7"/>
              <w:rPr>
                <w:rFonts w:eastAsiaTheme="minorEastAsia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B85C3D" wp14:editId="20B74B6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-86995</wp:posOffset>
                      </wp:positionV>
                      <wp:extent cx="5347335" cy="0"/>
                      <wp:effectExtent l="6985" t="8255" r="8255" b="1079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165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45pt;margin-top:-6.85pt;width:421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"/>
                  </w:pict>
                </mc:Fallback>
              </mc:AlternateContent>
            </w:r>
            <w:r w:rsidR="00456A87">
              <w:rPr>
                <w:rFonts w:eastAsiaTheme="minorEastAsia" w:hint="eastAsia"/>
                <w:lang w:eastAsia="zh-CN"/>
              </w:rPr>
              <w:t>No 339</w:t>
            </w:r>
            <w:r w:rsidR="0063397B">
              <w:rPr>
                <w:rFonts w:eastAsiaTheme="minorEastAsia" w:hint="eastAsia"/>
                <w:lang w:eastAsia="zh-CN"/>
              </w:rPr>
              <w:t>9 Kang-Xin Highway, Building 17</w:t>
            </w:r>
            <w:r w:rsidR="00456A87">
              <w:rPr>
                <w:rFonts w:eastAsiaTheme="minorEastAsia" w:hint="eastAsia"/>
                <w:lang w:eastAsia="zh-CN"/>
              </w:rPr>
              <w:t>. Pu-Dong District, Shanghai</w:t>
            </w:r>
          </w:p>
          <w:p w14:paraId="25FAF5DA" w14:textId="77777777" w:rsidR="00640E62" w:rsidRPr="00640E62" w:rsidRDefault="00456A87" w:rsidP="00456A87">
            <w:pPr>
              <w:pStyle w:val="a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E-Mail: </w:t>
            </w:r>
            <w:hyperlink r:id="rId1" w:history="1">
              <w:r w:rsidRPr="00364870">
                <w:rPr>
                  <w:rStyle w:val="ab"/>
                  <w:rFonts w:hint="eastAsia"/>
                </w:rPr>
                <w:t>Service@polywill.com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  </w:t>
            </w:r>
            <w:r w:rsidR="00B475AB">
              <w:rPr>
                <w:rFonts w:asciiTheme="minorEastAsia" w:eastAsiaTheme="minorEastAsia" w:hAnsiTheme="minorEastAsia" w:hint="eastAsia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                        </w:t>
            </w:r>
            <w:r w:rsidR="00B475AB">
              <w:rPr>
                <w:rFonts w:asciiTheme="minorEastAsia" w:eastAsiaTheme="minorEastAsia" w:hAnsiTheme="minorEastAsia" w:hint="eastAsia"/>
                <w:lang w:eastAsia="zh-CN"/>
              </w:rPr>
              <w:t xml:space="preserve">                    </w:t>
            </w:r>
            <w:r w:rsidR="00BF3C40">
              <w:rPr>
                <w:b/>
                <w:sz w:val="24"/>
                <w:szCs w:val="24"/>
              </w:rPr>
              <w:fldChar w:fldCharType="begin"/>
            </w:r>
            <w:r w:rsidR="00640E62">
              <w:rPr>
                <w:b/>
              </w:rPr>
              <w:instrText>PAGE</w:instrText>
            </w:r>
            <w:r w:rsidR="00BF3C40">
              <w:rPr>
                <w:b/>
                <w:sz w:val="24"/>
                <w:szCs w:val="24"/>
              </w:rPr>
              <w:fldChar w:fldCharType="separate"/>
            </w:r>
            <w:r w:rsidR="005C2B6F">
              <w:rPr>
                <w:b/>
                <w:noProof/>
              </w:rPr>
              <w:t>1</w:t>
            </w:r>
            <w:r w:rsidR="00BF3C40">
              <w:rPr>
                <w:b/>
                <w:sz w:val="24"/>
                <w:szCs w:val="24"/>
              </w:rPr>
              <w:fldChar w:fldCharType="end"/>
            </w:r>
            <w:r w:rsidR="00640E62" w:rsidRPr="00640E62">
              <w:t xml:space="preserve"> / </w:t>
            </w:r>
            <w:r w:rsidR="00BF3C40">
              <w:rPr>
                <w:b/>
                <w:sz w:val="24"/>
                <w:szCs w:val="24"/>
              </w:rPr>
              <w:fldChar w:fldCharType="begin"/>
            </w:r>
            <w:r w:rsidR="00640E62">
              <w:rPr>
                <w:b/>
              </w:rPr>
              <w:instrText>NUMPAGES</w:instrText>
            </w:r>
            <w:r w:rsidR="00BF3C40">
              <w:rPr>
                <w:b/>
                <w:sz w:val="24"/>
                <w:szCs w:val="24"/>
              </w:rPr>
              <w:fldChar w:fldCharType="separate"/>
            </w:r>
            <w:r w:rsidR="005C2B6F">
              <w:rPr>
                <w:b/>
                <w:noProof/>
              </w:rPr>
              <w:t>1</w:t>
            </w:r>
            <w:r w:rsidR="00BF3C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B66897" w14:textId="77777777" w:rsidR="00640E62" w:rsidRPr="00640E62" w:rsidRDefault="00640E62">
    <w:pPr>
      <w:pStyle w:val="a7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201E" w14:textId="77777777" w:rsidR="005571D4" w:rsidRDefault="005571D4" w:rsidP="00D67962">
      <w:r>
        <w:separator/>
      </w:r>
    </w:p>
  </w:footnote>
  <w:footnote w:type="continuationSeparator" w:id="0">
    <w:p w14:paraId="1125DADB" w14:textId="77777777" w:rsidR="005571D4" w:rsidRDefault="005571D4" w:rsidP="00D6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FF3" w14:textId="476CBF1B" w:rsidR="007F381B" w:rsidRPr="0063397B" w:rsidRDefault="004E40B8" w:rsidP="005C2B6F">
    <w:pPr>
      <w:pStyle w:val="a5"/>
      <w:pBdr>
        <w:bottom w:val="single" w:sz="6" w:space="2" w:color="auto"/>
      </w:pBdr>
      <w:jc w:val="left"/>
      <w:rPr>
        <w:rFonts w:eastAsiaTheme="minorEastAsia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E5F11A" wp14:editId="19C72CC9">
              <wp:simplePos x="0" y="0"/>
              <wp:positionH relativeFrom="column">
                <wp:posOffset>1216025</wp:posOffset>
              </wp:positionH>
              <wp:positionV relativeFrom="paragraph">
                <wp:posOffset>172085</wp:posOffset>
              </wp:positionV>
              <wp:extent cx="3260725" cy="297815"/>
              <wp:effectExtent l="0" t="0" r="15875" b="260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8870" w14:textId="77777777" w:rsidR="00640E62" w:rsidRPr="0063397B" w:rsidRDefault="00456A87" w:rsidP="00456A87">
                          <w:pPr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>Polywill (Shanghai) Advanced Materials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5F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75pt;margin-top:13.55pt;width:256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" strokecolor="white [3212]">
              <v:textbox>
                <w:txbxContent>
                  <w:p w14:paraId="32D58870" w14:textId="77777777" w:rsidR="00640E62" w:rsidRPr="0063397B" w:rsidRDefault="00456A87" w:rsidP="00456A87">
                    <w:pPr>
                      <w:rPr>
                        <w:rFonts w:eastAsiaTheme="minorEastAsia"/>
                        <w:lang w:eastAsia="zh-CN"/>
                      </w:rPr>
                    </w:pPr>
                    <w:proofErr w:type="spellStart"/>
                    <w:r>
                      <w:rPr>
                        <w:rFonts w:eastAsiaTheme="minorEastAsia" w:hint="eastAsia"/>
                        <w:lang w:eastAsia="zh-CN"/>
                      </w:rPr>
                      <w:t>Polywill</w:t>
                    </w:r>
                    <w:proofErr w:type="spellEnd"/>
                    <w:r>
                      <w:rPr>
                        <w:rFonts w:eastAsiaTheme="minorEastAsia" w:hint="eastAsia"/>
                        <w:lang w:eastAsia="zh-CN"/>
                      </w:rPr>
                      <w:t xml:space="preserve"> (Shanghai) Advanced Materials Co., Ltd</w:t>
                    </w:r>
                  </w:p>
                </w:txbxContent>
              </v:textbox>
            </v:shape>
          </w:pict>
        </mc:Fallback>
      </mc:AlternateContent>
    </w:r>
    <w:r w:rsidR="005C2B6F" w:rsidRPr="005C2B6F">
      <w:rPr>
        <w:rFonts w:eastAsiaTheme="minorEastAsia"/>
        <w:noProof/>
        <w:lang w:eastAsia="zh-CN"/>
      </w:rPr>
      <w:drawing>
        <wp:inline distT="0" distB="0" distL="0" distR="0" wp14:anchorId="0AB8C218" wp14:editId="57394564">
          <wp:extent cx="981075" cy="457200"/>
          <wp:effectExtent l="0" t="0" r="9525" b="0"/>
          <wp:docPr id="2" name="图片 1" descr="C:\Files\Polywill\Images\Polywill Logo English_201807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iles\Polywill\Images\Polywill Logo English_201807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130" t="38462" r="32852" b="36923"/>
                  <a:stretch>
                    <a:fillRect/>
                  </a:stretch>
                </pic:blipFill>
                <pic:spPr bwMode="auto">
                  <a:xfrm>
                    <a:off x="0" y="0"/>
                    <a:ext cx="981618" cy="457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115"/>
    <w:multiLevelType w:val="hybridMultilevel"/>
    <w:tmpl w:val="40F8F3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DE4489"/>
    <w:multiLevelType w:val="hybridMultilevel"/>
    <w:tmpl w:val="3EB64594"/>
    <w:lvl w:ilvl="0" w:tplc="23A82742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A245B"/>
    <w:multiLevelType w:val="hybridMultilevel"/>
    <w:tmpl w:val="E68885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211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AC1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67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01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59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C4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4C57"/>
    <w:multiLevelType w:val="hybridMultilevel"/>
    <w:tmpl w:val="86FE371A"/>
    <w:lvl w:ilvl="0" w:tplc="BCB61308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A36E3"/>
    <w:multiLevelType w:val="hybridMultilevel"/>
    <w:tmpl w:val="DCEA7F1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A04CC"/>
    <w:multiLevelType w:val="hybridMultilevel"/>
    <w:tmpl w:val="4E8CC1BE"/>
    <w:lvl w:ilvl="0" w:tplc="510E07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211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AC1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67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01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59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C4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7110"/>
    <w:multiLevelType w:val="hybridMultilevel"/>
    <w:tmpl w:val="7CCC0806"/>
    <w:lvl w:ilvl="0" w:tplc="273EFA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43C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E3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3E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4EF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231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3B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EB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2F4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653104">
    <w:abstractNumId w:val="1"/>
  </w:num>
  <w:num w:numId="2" w16cid:durableId="168713372">
    <w:abstractNumId w:val="5"/>
  </w:num>
  <w:num w:numId="3" w16cid:durableId="1650942961">
    <w:abstractNumId w:val="2"/>
  </w:num>
  <w:num w:numId="4" w16cid:durableId="1705910090">
    <w:abstractNumId w:val="6"/>
  </w:num>
  <w:num w:numId="5" w16cid:durableId="1462923207">
    <w:abstractNumId w:val="4"/>
  </w:num>
  <w:num w:numId="6" w16cid:durableId="3942501">
    <w:abstractNumId w:val="3"/>
  </w:num>
  <w:num w:numId="7" w16cid:durableId="6941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0"/>
    <w:rsid w:val="00013DC7"/>
    <w:rsid w:val="00031D12"/>
    <w:rsid w:val="000356AF"/>
    <w:rsid w:val="00044D0F"/>
    <w:rsid w:val="00045AA7"/>
    <w:rsid w:val="0004703B"/>
    <w:rsid w:val="000542EA"/>
    <w:rsid w:val="000730CA"/>
    <w:rsid w:val="00085F2B"/>
    <w:rsid w:val="000872F4"/>
    <w:rsid w:val="00094A57"/>
    <w:rsid w:val="000A4C54"/>
    <w:rsid w:val="000A5E12"/>
    <w:rsid w:val="000C0F82"/>
    <w:rsid w:val="000D4635"/>
    <w:rsid w:val="000E0A01"/>
    <w:rsid w:val="000E4765"/>
    <w:rsid w:val="00101AF7"/>
    <w:rsid w:val="00105DE9"/>
    <w:rsid w:val="00122A34"/>
    <w:rsid w:val="00127223"/>
    <w:rsid w:val="001512CC"/>
    <w:rsid w:val="001609A4"/>
    <w:rsid w:val="00160D17"/>
    <w:rsid w:val="00182722"/>
    <w:rsid w:val="001A02D0"/>
    <w:rsid w:val="001B6C7F"/>
    <w:rsid w:val="001B7A0E"/>
    <w:rsid w:val="001C441C"/>
    <w:rsid w:val="001C7285"/>
    <w:rsid w:val="001D0977"/>
    <w:rsid w:val="001D3213"/>
    <w:rsid w:val="001D3FAC"/>
    <w:rsid w:val="0020482B"/>
    <w:rsid w:val="002107AB"/>
    <w:rsid w:val="0021101E"/>
    <w:rsid w:val="00212864"/>
    <w:rsid w:val="0021371F"/>
    <w:rsid w:val="002176ED"/>
    <w:rsid w:val="00221A70"/>
    <w:rsid w:val="00222C6F"/>
    <w:rsid w:val="002264A7"/>
    <w:rsid w:val="00231BB0"/>
    <w:rsid w:val="0025500F"/>
    <w:rsid w:val="00270BA7"/>
    <w:rsid w:val="00271FDF"/>
    <w:rsid w:val="00276A9A"/>
    <w:rsid w:val="00276C4F"/>
    <w:rsid w:val="00282962"/>
    <w:rsid w:val="002A454B"/>
    <w:rsid w:val="002A5CCC"/>
    <w:rsid w:val="002B6F13"/>
    <w:rsid w:val="002C6284"/>
    <w:rsid w:val="002D676D"/>
    <w:rsid w:val="002F4ABF"/>
    <w:rsid w:val="00300D00"/>
    <w:rsid w:val="0030597C"/>
    <w:rsid w:val="00323F25"/>
    <w:rsid w:val="00333B25"/>
    <w:rsid w:val="003359F7"/>
    <w:rsid w:val="0035316F"/>
    <w:rsid w:val="00373A3F"/>
    <w:rsid w:val="0037766C"/>
    <w:rsid w:val="00382D03"/>
    <w:rsid w:val="00384DCF"/>
    <w:rsid w:val="00385CE2"/>
    <w:rsid w:val="003922B1"/>
    <w:rsid w:val="003A16D0"/>
    <w:rsid w:val="003B0498"/>
    <w:rsid w:val="003B267D"/>
    <w:rsid w:val="003C2ED6"/>
    <w:rsid w:val="003C41BE"/>
    <w:rsid w:val="003C457C"/>
    <w:rsid w:val="003C59D2"/>
    <w:rsid w:val="003D31C6"/>
    <w:rsid w:val="003F5C29"/>
    <w:rsid w:val="0040255A"/>
    <w:rsid w:val="00412FAE"/>
    <w:rsid w:val="00417575"/>
    <w:rsid w:val="00424323"/>
    <w:rsid w:val="004369D4"/>
    <w:rsid w:val="00436B43"/>
    <w:rsid w:val="0044524A"/>
    <w:rsid w:val="00447BA7"/>
    <w:rsid w:val="00454E3A"/>
    <w:rsid w:val="00456A87"/>
    <w:rsid w:val="00457A83"/>
    <w:rsid w:val="00473BCF"/>
    <w:rsid w:val="004847AE"/>
    <w:rsid w:val="00494163"/>
    <w:rsid w:val="00495F73"/>
    <w:rsid w:val="004960DB"/>
    <w:rsid w:val="004977A9"/>
    <w:rsid w:val="004A1610"/>
    <w:rsid w:val="004B4D7A"/>
    <w:rsid w:val="004B7D22"/>
    <w:rsid w:val="004C0B2F"/>
    <w:rsid w:val="004D2009"/>
    <w:rsid w:val="004D408A"/>
    <w:rsid w:val="004E14DC"/>
    <w:rsid w:val="004E40B8"/>
    <w:rsid w:val="004F18B7"/>
    <w:rsid w:val="004F3127"/>
    <w:rsid w:val="00511752"/>
    <w:rsid w:val="005133C7"/>
    <w:rsid w:val="00532EAA"/>
    <w:rsid w:val="0053681E"/>
    <w:rsid w:val="005556D2"/>
    <w:rsid w:val="005571D4"/>
    <w:rsid w:val="005726DC"/>
    <w:rsid w:val="00576426"/>
    <w:rsid w:val="00594ECE"/>
    <w:rsid w:val="005A0D71"/>
    <w:rsid w:val="005B567B"/>
    <w:rsid w:val="005C288F"/>
    <w:rsid w:val="005C2B6F"/>
    <w:rsid w:val="005D1362"/>
    <w:rsid w:val="00610704"/>
    <w:rsid w:val="00626826"/>
    <w:rsid w:val="0063397B"/>
    <w:rsid w:val="00633E53"/>
    <w:rsid w:val="00640E62"/>
    <w:rsid w:val="006504F3"/>
    <w:rsid w:val="006637FD"/>
    <w:rsid w:val="00666721"/>
    <w:rsid w:val="00683CE9"/>
    <w:rsid w:val="0069038D"/>
    <w:rsid w:val="00693332"/>
    <w:rsid w:val="006A259B"/>
    <w:rsid w:val="006B22EC"/>
    <w:rsid w:val="006B4E9C"/>
    <w:rsid w:val="006B5E4E"/>
    <w:rsid w:val="006C2F5A"/>
    <w:rsid w:val="006C37E0"/>
    <w:rsid w:val="006C3B48"/>
    <w:rsid w:val="006C4E5D"/>
    <w:rsid w:val="006D213D"/>
    <w:rsid w:val="006D3FEF"/>
    <w:rsid w:val="006D6872"/>
    <w:rsid w:val="006E2A58"/>
    <w:rsid w:val="006F6E7E"/>
    <w:rsid w:val="00705366"/>
    <w:rsid w:val="007115B9"/>
    <w:rsid w:val="00713178"/>
    <w:rsid w:val="00721286"/>
    <w:rsid w:val="00724015"/>
    <w:rsid w:val="00730678"/>
    <w:rsid w:val="007316CF"/>
    <w:rsid w:val="00734F3D"/>
    <w:rsid w:val="00740979"/>
    <w:rsid w:val="007472C1"/>
    <w:rsid w:val="0077066B"/>
    <w:rsid w:val="00777EA3"/>
    <w:rsid w:val="00784037"/>
    <w:rsid w:val="00785B0A"/>
    <w:rsid w:val="00786041"/>
    <w:rsid w:val="00795818"/>
    <w:rsid w:val="00796E0F"/>
    <w:rsid w:val="007C1AC3"/>
    <w:rsid w:val="007C79A1"/>
    <w:rsid w:val="007D12FB"/>
    <w:rsid w:val="007D7BE2"/>
    <w:rsid w:val="007E58EA"/>
    <w:rsid w:val="007F381B"/>
    <w:rsid w:val="00803B41"/>
    <w:rsid w:val="00806967"/>
    <w:rsid w:val="00810332"/>
    <w:rsid w:val="008135B7"/>
    <w:rsid w:val="0082166E"/>
    <w:rsid w:val="00823B3F"/>
    <w:rsid w:val="00827D31"/>
    <w:rsid w:val="0084354B"/>
    <w:rsid w:val="00852B13"/>
    <w:rsid w:val="00874152"/>
    <w:rsid w:val="008774A1"/>
    <w:rsid w:val="00885FEB"/>
    <w:rsid w:val="008A39BD"/>
    <w:rsid w:val="008A6F3E"/>
    <w:rsid w:val="008B043F"/>
    <w:rsid w:val="008B1EA5"/>
    <w:rsid w:val="008B68B5"/>
    <w:rsid w:val="008C4875"/>
    <w:rsid w:val="008D0242"/>
    <w:rsid w:val="008D7501"/>
    <w:rsid w:val="008E0278"/>
    <w:rsid w:val="008E4C47"/>
    <w:rsid w:val="008F1851"/>
    <w:rsid w:val="008F3A20"/>
    <w:rsid w:val="00902362"/>
    <w:rsid w:val="00912B8E"/>
    <w:rsid w:val="0091364B"/>
    <w:rsid w:val="0092000E"/>
    <w:rsid w:val="009328E0"/>
    <w:rsid w:val="00936D82"/>
    <w:rsid w:val="00940C44"/>
    <w:rsid w:val="009551B8"/>
    <w:rsid w:val="00957A39"/>
    <w:rsid w:val="00972DB9"/>
    <w:rsid w:val="009801A1"/>
    <w:rsid w:val="009919E3"/>
    <w:rsid w:val="00991C24"/>
    <w:rsid w:val="009B1A8F"/>
    <w:rsid w:val="009D07EC"/>
    <w:rsid w:val="009D1DF0"/>
    <w:rsid w:val="009D247F"/>
    <w:rsid w:val="009D40AF"/>
    <w:rsid w:val="009D4350"/>
    <w:rsid w:val="009E30E3"/>
    <w:rsid w:val="009E57D6"/>
    <w:rsid w:val="009F21E2"/>
    <w:rsid w:val="00A027A6"/>
    <w:rsid w:val="00A10F2F"/>
    <w:rsid w:val="00A24C73"/>
    <w:rsid w:val="00A27069"/>
    <w:rsid w:val="00A34278"/>
    <w:rsid w:val="00A47075"/>
    <w:rsid w:val="00A505C5"/>
    <w:rsid w:val="00A50C2C"/>
    <w:rsid w:val="00A52A99"/>
    <w:rsid w:val="00A55770"/>
    <w:rsid w:val="00A56D19"/>
    <w:rsid w:val="00A773AA"/>
    <w:rsid w:val="00A7762C"/>
    <w:rsid w:val="00A83704"/>
    <w:rsid w:val="00A910B4"/>
    <w:rsid w:val="00A950A0"/>
    <w:rsid w:val="00AB53AB"/>
    <w:rsid w:val="00AB6C59"/>
    <w:rsid w:val="00AC604B"/>
    <w:rsid w:val="00AD32D3"/>
    <w:rsid w:val="00AE2526"/>
    <w:rsid w:val="00AE320F"/>
    <w:rsid w:val="00AE6510"/>
    <w:rsid w:val="00AF3478"/>
    <w:rsid w:val="00B01FD3"/>
    <w:rsid w:val="00B02357"/>
    <w:rsid w:val="00B03125"/>
    <w:rsid w:val="00B21A69"/>
    <w:rsid w:val="00B23B89"/>
    <w:rsid w:val="00B326A1"/>
    <w:rsid w:val="00B3713F"/>
    <w:rsid w:val="00B4145A"/>
    <w:rsid w:val="00B475AB"/>
    <w:rsid w:val="00B5056C"/>
    <w:rsid w:val="00B723F7"/>
    <w:rsid w:val="00BA043D"/>
    <w:rsid w:val="00BA0C54"/>
    <w:rsid w:val="00BA24A0"/>
    <w:rsid w:val="00BB13C2"/>
    <w:rsid w:val="00BB3745"/>
    <w:rsid w:val="00BB3FF9"/>
    <w:rsid w:val="00BB42AE"/>
    <w:rsid w:val="00BB686D"/>
    <w:rsid w:val="00BC0650"/>
    <w:rsid w:val="00BC1B14"/>
    <w:rsid w:val="00BE1693"/>
    <w:rsid w:val="00BE708A"/>
    <w:rsid w:val="00BF3824"/>
    <w:rsid w:val="00BF3C40"/>
    <w:rsid w:val="00C10177"/>
    <w:rsid w:val="00C17EE0"/>
    <w:rsid w:val="00C40813"/>
    <w:rsid w:val="00C471E6"/>
    <w:rsid w:val="00C57AD9"/>
    <w:rsid w:val="00C60DA6"/>
    <w:rsid w:val="00C61E26"/>
    <w:rsid w:val="00C64E0F"/>
    <w:rsid w:val="00C73441"/>
    <w:rsid w:val="00C96952"/>
    <w:rsid w:val="00C97E03"/>
    <w:rsid w:val="00CA64D5"/>
    <w:rsid w:val="00CB3B7B"/>
    <w:rsid w:val="00CD02C9"/>
    <w:rsid w:val="00CF6E4E"/>
    <w:rsid w:val="00D063DF"/>
    <w:rsid w:val="00D146AE"/>
    <w:rsid w:val="00D245A9"/>
    <w:rsid w:val="00D27E27"/>
    <w:rsid w:val="00D43830"/>
    <w:rsid w:val="00D56D44"/>
    <w:rsid w:val="00D67962"/>
    <w:rsid w:val="00D869E0"/>
    <w:rsid w:val="00DA116D"/>
    <w:rsid w:val="00DA78B8"/>
    <w:rsid w:val="00DB0381"/>
    <w:rsid w:val="00DB0B8D"/>
    <w:rsid w:val="00DB5876"/>
    <w:rsid w:val="00DB7272"/>
    <w:rsid w:val="00DC064D"/>
    <w:rsid w:val="00DC1DF8"/>
    <w:rsid w:val="00DC752A"/>
    <w:rsid w:val="00DD1FD3"/>
    <w:rsid w:val="00DE0C6B"/>
    <w:rsid w:val="00DE1FDE"/>
    <w:rsid w:val="00E0121B"/>
    <w:rsid w:val="00E04608"/>
    <w:rsid w:val="00E13C28"/>
    <w:rsid w:val="00E16C1A"/>
    <w:rsid w:val="00E17869"/>
    <w:rsid w:val="00E22AF6"/>
    <w:rsid w:val="00E421CC"/>
    <w:rsid w:val="00E4232B"/>
    <w:rsid w:val="00E5545C"/>
    <w:rsid w:val="00E555FC"/>
    <w:rsid w:val="00E665DC"/>
    <w:rsid w:val="00E709CD"/>
    <w:rsid w:val="00E85AF0"/>
    <w:rsid w:val="00EA307C"/>
    <w:rsid w:val="00EC05B6"/>
    <w:rsid w:val="00EC096A"/>
    <w:rsid w:val="00EC7367"/>
    <w:rsid w:val="00ED3631"/>
    <w:rsid w:val="00EE1A20"/>
    <w:rsid w:val="00EE2087"/>
    <w:rsid w:val="00F20FB2"/>
    <w:rsid w:val="00F25148"/>
    <w:rsid w:val="00F34352"/>
    <w:rsid w:val="00F5026E"/>
    <w:rsid w:val="00F56C21"/>
    <w:rsid w:val="00F61270"/>
    <w:rsid w:val="00F750DC"/>
    <w:rsid w:val="00F7615B"/>
    <w:rsid w:val="00F962B8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752E"/>
  <w15:docId w15:val="{C5322B33-70B9-463D-84B8-FE10165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F0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ductName">
    <w:name w:val="Product Name"/>
    <w:link w:val="ProductNameChar"/>
    <w:rsid w:val="00E85AF0"/>
    <w:pPr>
      <w:spacing w:line="270" w:lineRule="exact"/>
    </w:pPr>
    <w:rPr>
      <w:rFonts w:ascii="Arial Black" w:eastAsia="PMingLiU" w:hAnsi="Arial Black" w:cs="Times New Roman"/>
      <w:noProof/>
      <w:kern w:val="0"/>
      <w:sz w:val="26"/>
      <w:szCs w:val="26"/>
      <w:lang w:eastAsia="en-US"/>
    </w:rPr>
  </w:style>
  <w:style w:type="character" w:customStyle="1" w:styleId="ProductNameChar">
    <w:name w:val="Product Name Char"/>
    <w:basedOn w:val="a0"/>
    <w:link w:val="ProductName"/>
    <w:rsid w:val="00E85AF0"/>
    <w:rPr>
      <w:rFonts w:ascii="Arial Black" w:eastAsia="PMingLiU" w:hAnsi="Arial Black" w:cs="Times New Roman"/>
      <w:noProof/>
      <w:kern w:val="0"/>
      <w:sz w:val="26"/>
      <w:szCs w:val="26"/>
      <w:lang w:eastAsia="en-US"/>
    </w:rPr>
  </w:style>
  <w:style w:type="paragraph" w:customStyle="1" w:styleId="ChartData">
    <w:name w:val="Chart Data"/>
    <w:basedOn w:val="a"/>
    <w:rsid w:val="000542EA"/>
    <w:pPr>
      <w:spacing w:line="220" w:lineRule="exact"/>
    </w:pPr>
    <w:rPr>
      <w:rFonts w:ascii="Arial Narrow" w:hAnsi="Arial Narrow"/>
      <w:noProof/>
      <w:sz w:val="18"/>
      <w:szCs w:val="18"/>
    </w:rPr>
  </w:style>
  <w:style w:type="table" w:styleId="a3">
    <w:name w:val="Table Grid"/>
    <w:basedOn w:val="a1"/>
    <w:rsid w:val="000542EA"/>
    <w:rPr>
      <w:rFonts w:ascii="Arial Narrow" w:eastAsia="PMingLiU" w:hAnsi="Arial Narrow" w:cs="Times New Roman"/>
      <w:kern w:val="0"/>
      <w:sz w:val="18"/>
      <w:szCs w:val="20"/>
    </w:rPr>
    <w:tblPr>
      <w:tblInd w:w="86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4">
    <w:name w:val="List Bullet"/>
    <w:rsid w:val="009D1DF0"/>
    <w:pPr>
      <w:tabs>
        <w:tab w:val="num" w:pos="187"/>
      </w:tabs>
      <w:spacing w:after="40"/>
      <w:ind w:left="187" w:hanging="187"/>
    </w:pPr>
    <w:rPr>
      <w:rFonts w:ascii="Arial Narrow" w:eastAsia="PMingLiU" w:hAnsi="Arial Narrow" w:cs="Times New Roman"/>
      <w:kern w:val="0"/>
      <w:sz w:val="22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6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7962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679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7962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8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381B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640E6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33B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polyw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junrong xia</dc:creator>
  <cp:lastModifiedBy>HI</cp:lastModifiedBy>
  <cp:revision>9</cp:revision>
  <cp:lastPrinted>2022-06-27T05:07:00Z</cp:lastPrinted>
  <dcterms:created xsi:type="dcterms:W3CDTF">2022-08-28T15:57:00Z</dcterms:created>
  <dcterms:modified xsi:type="dcterms:W3CDTF">2022-08-31T18:34:00Z</dcterms:modified>
</cp:coreProperties>
</file>